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560" w:val="clear"/>
        <w:spacing w:after="0" w:before="0"/>
        <w:jc w:val="center"/>
      </w:pPr>
      <w:r>
        <w:rPr>
          <w:rFonts w:ascii="Arial" w:cs="Arial" w:eastAsia="Arial" w:hAnsi="Arial"/>
          <w:b/>
          <w:bCs/>
          <w:color w:val="FFFFFF"/>
          <w:sz w:val="30"/>
          <w:szCs w:val="30"/>
        </w:rPr>
        <w:t xml:space="preserve">WYOMING LLC OPERATING AGREEMENT</w:t>
      </w:r>
    </w:p>
    <w:p>
      <w:pPr>
        <w:shd w:fill="1A3560" w:val="clear"/>
        <w:spacing w:after="0" w:before="0"/>
        <w:jc w:val="center"/>
      </w:pPr>
      <w:r>
        <w:rPr>
          <w:rFonts w:ascii="Arial" w:cs="Arial" w:eastAsia="Arial" w:hAnsi="Arial"/>
          <w:color w:val="FFFFFF"/>
          <w:sz w:val="20"/>
          <w:szCs w:val="20"/>
        </w:rPr>
        <w:t xml:space="preserve">Multi-Member | Member-Managed</w:t>
      </w:r>
    </w:p>
    <w:p>
      <w:pPr>
        <w:spacing w:after="160" w:before="60"/>
        <w:jc w:val="center"/>
      </w:pPr>
      <w:r>
        <w:rPr>
          <w:rFonts w:ascii="Arial" w:cs="Arial" w:eastAsia="Arial" w:hAnsi="Arial"/>
          <w:color w:val="888888"/>
          <w:sz w:val="16"/>
          <w:szCs w:val="16"/>
        </w:rPr>
        <w:t xml:space="preserve">Wyoming Statutes Title 17, Chapter 29  |  Wyoming Limited Liability Company Act</w:t>
      </w:r>
    </w:p>
    <w:p>
      <w:pPr>
        <w:pBdr>
          <w:bottom w:val="single" w:color="1A3560" w:sz="6"/>
        </w:pBdr>
        <w:spacing w:after="100" w:before="300"/>
        <w:jc w:val="left"/>
      </w:pPr>
      <w:r>
        <w:rPr>
          <w:rFonts w:ascii="Arial" w:cs="Arial" w:eastAsia="Arial" w:hAnsi="Arial"/>
          <w:b/>
          <w:bCs/>
          <w:color w:val="1A3560"/>
          <w:sz w:val="24"/>
          <w:szCs w:val="24"/>
        </w:rPr>
        <w:t xml:space="preserve">ARTICLE I -- ORGANIZATION</w:t>
      </w:r>
    </w:p>
    <w:p>
      <w:pPr>
        <w:spacing w:after="60" w:before="180"/>
      </w:pPr>
      <w:r>
        <w:rPr>
          <w:rFonts w:ascii="Times New Roman" w:cs="Times New Roman" w:eastAsia="Times New Roman" w:hAnsi="Times New Roman"/>
          <w:b/>
          <w:bCs/>
          <w:i w:val="false"/>
          <w:iCs w:val="false"/>
          <w:color w:val="444444"/>
          <w:sz w:val="21"/>
          <w:szCs w:val="21"/>
        </w:rPr>
        <w:t xml:space="preserve">1.01  Formation and Governing Law.</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Operating Agreement is adopted pursuant to the Wyoming Limited Liability Company Act, Wyoming Statutes Title 17, Chapter 29, effective as of the Formation Date below. Under W.S. 17-29-110(a), this Agreement governs relations among members, management, activities, amendments, voting rights, membership transfers, and distributions. Under W.S. 17-29-102(a)(xiv), Wyoming recognizes operating agreements whether oral, in a record, implied, or any combination -- this written Agreement is adopted for evidentiary clarity, banking, and enforceability.</w:t>
      </w:r>
    </w:p>
    <w:p>
      <w:pPr>
        <w:spacing w:after="60" w:before="180"/>
      </w:pPr>
      <w:r>
        <w:rPr>
          <w:rFonts w:ascii="Times New Roman" w:cs="Times New Roman" w:eastAsia="Times New Roman" w:hAnsi="Times New Roman"/>
          <w:b/>
          <w:bCs/>
          <w:i w:val="false"/>
          <w:iCs w:val="false"/>
          <w:color w:val="444444"/>
          <w:sz w:val="21"/>
          <w:szCs w:val="21"/>
        </w:rPr>
        <w:t xml:space="preserve">1.02  LLC Name (W.S. 17-29-108).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legal name of the Company is (must match Articles of Organization exactly, including LLC, L.L.C., or Limited Liability Company):</w:t>
      </w:r>
    </w:p>
    <w:p>
      <w:pPr>
        <w:spacing w:after="20" w:before="100"/>
      </w:pPr>
      <w:r>
        <w:rPr>
          <w:rFonts w:ascii="Times New Roman" w:cs="Times New Roman" w:eastAsia="Times New Roman" w:hAnsi="Times New Roman"/>
          <w:b/>
          <w:bCs/>
          <w:i w:val="false"/>
          <w:iCs w:val="false"/>
          <w:color w:val="444444"/>
          <w:sz w:val="22"/>
          <w:szCs w:val="22"/>
        </w:rPr>
        <w:t xml:space="preserve">LLC Name:</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1.03  Articles of Organization (W.S. 17-29-201).</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was formed by filing Articles of Organization with the Wyoming Secretary of State. Filing fee: $100. Processing time: up to 15 business days (expedited filing not available under Wyoming statutes). The Articles do NOT list member names -- this Agreement is the primary ownership record. This Agreement is NOT filed with the Wyoming Secretary of State.</w:t>
      </w:r>
    </w:p>
    <w:p>
      <w:pPr>
        <w:spacing w:after="80" w:before="80"/>
      </w:pPr>
      <w:r>
        <w:rPr>
          <w:rFonts w:ascii="Times New Roman" w:cs="Times New Roman" w:eastAsia="Times New Roman" w:hAnsi="Times New Roman"/>
          <w:b/>
          <w:bCs/>
          <w:i w:val="false"/>
          <w:iCs w:val="false"/>
          <w:color w:val="444444"/>
          <w:sz w:val="22"/>
          <w:szCs w:val="22"/>
        </w:rPr>
        <w:t xml:space="preserve">Formation Date: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1.04  Registered Agent (W.S. 17-29-113).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must continuously maintain a registered agent with a physical Wyoming street address. P.O. boxes, virtual addresses, mail-forwarding services, UPS Stores, and FedEx Stores do NOT qualify per the Wyoming Secretary of State FAQ.</w:t>
      </w:r>
    </w:p>
    <w:p>
      <w:pPr>
        <w:spacing w:after="80" w:before="80"/>
      </w:pPr>
      <w:r>
        <w:rPr>
          <w:rFonts w:ascii="Times New Roman" w:cs="Times New Roman" w:eastAsia="Times New Roman" w:hAnsi="Times New Roman"/>
          <w:b/>
          <w:bCs/>
          <w:i w:val="false"/>
          <w:iCs w:val="false"/>
          <w:color w:val="444444"/>
          <w:sz w:val="22"/>
          <w:szCs w:val="22"/>
        </w:rPr>
        <w:t xml:space="preserve">Registered Agent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Registered Agent WY Street Address (No P.O. Box):</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1.05  Principal Office.</w:t>
      </w:r>
    </w:p>
    <w:p>
      <w:pPr>
        <w:spacing w:after="20" w:before="100"/>
      </w:pPr>
      <w:r>
        <w:rPr>
          <w:rFonts w:ascii="Times New Roman" w:cs="Times New Roman" w:eastAsia="Times New Roman" w:hAnsi="Times New Roman"/>
          <w:b/>
          <w:bCs/>
          <w:i w:val="false"/>
          <w:iCs w:val="false"/>
          <w:color w:val="444444"/>
          <w:sz w:val="22"/>
          <w:szCs w:val="22"/>
        </w:rPr>
        <w:t xml:space="preserve">Principal Office Address (Street, City, WY ZIP):</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1.06  Business Purpose.</w:t>
      </w:r>
    </w:p>
    <w:p>
      <w:pPr>
        <w:spacing w:after="20" w:before="100"/>
      </w:pPr>
      <w:r>
        <w:rPr>
          <w:rFonts w:ascii="Times New Roman" w:cs="Times New Roman" w:eastAsia="Times New Roman" w:hAnsi="Times New Roman"/>
          <w:b/>
          <w:bCs/>
          <w:i w:val="false"/>
          <w:iCs w:val="false"/>
          <w:color w:val="444444"/>
          <w:sz w:val="22"/>
          <w:szCs w:val="22"/>
        </w:rPr>
        <w:t xml:space="preserve">Business Purpose:</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1.07  Federal Tax Classification.</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Wyoming imposes no corporate state income tax, no personal state income tax, no inventory tax, no occupation tax, and no value-added tax. Wyoming LLCs are subject to the Annual Report License Tax (see Section 1.08). Federal tax treatment defaults: single-member LLCs to disregarded entity; multi-member LLCs to partnership. Both may elect corporate treatment using IRS Form 8832 or Form 2553.</w:t>
      </w:r>
    </w:p>
    <w:p>
      <w:pPr>
        <w:spacing w:after="80" w:before="80"/>
      </w:pPr>
      <w:r>
        <w:rPr>
          <w:rFonts w:ascii="Times New Roman" w:cs="Times New Roman" w:eastAsia="Times New Roman" w:hAnsi="Times New Roman"/>
          <w:b/>
          <w:bCs/>
          <w:i w:val="false"/>
          <w:iCs w:val="false"/>
          <w:color w:val="444444"/>
          <w:sz w:val="22"/>
          <w:szCs w:val="22"/>
        </w:rPr>
        <w:t xml:space="preserve">Federal Tax Classification (disregarded / partnership / C-corp / S-corp):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1.08  Annual Report License Tax (W.S. 17-29-209 and W.S. 17-29-705).</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EVERY Wyoming LLC must file an annual report on or before the FIRST DAY of the anniversary month of formation (W.S. 17-29-209). The Annual Report License Tax is the GREATER of $60 or $0.0002 of the LLC's Wyoming-located assets. This is a license tax, NOT a franchise tax (Wyoming has no franchise tax). Failure to file within 60 days of the due date allows administrative dissolution under W.S. 17-29-705. Annual reports may be filed up to 120 days early.</w:t>
      </w:r>
    </w:p>
    <w:p>
      <w:pPr>
        <w:spacing w:after="80" w:before="80"/>
      </w:pPr>
      <w:r>
        <w:rPr>
          <w:rFonts w:ascii="Times New Roman" w:cs="Times New Roman" w:eastAsia="Times New Roman" w:hAnsi="Times New Roman"/>
          <w:b/>
          <w:bCs/>
          <w:i w:val="false"/>
          <w:iCs w:val="false"/>
          <w:color w:val="444444"/>
          <w:sz w:val="22"/>
          <w:szCs w:val="22"/>
        </w:rPr>
        <w:t xml:space="preserve">Annual Report Anniversary Month (month of formation):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pBdr>
          <w:bottom w:val="single" w:color="1A3560" w:sz="6"/>
        </w:pBdr>
        <w:spacing w:after="100" w:before="300"/>
        <w:jc w:val="left"/>
      </w:pPr>
      <w:r>
        <w:rPr>
          <w:rFonts w:ascii="Arial" w:cs="Arial" w:eastAsia="Arial" w:hAnsi="Arial"/>
          <w:b/>
          <w:bCs/>
          <w:color w:val="1A3560"/>
          <w:sz w:val="24"/>
          <w:szCs w:val="24"/>
        </w:rPr>
        <w:t xml:space="preserve">ARTICLE II -- DEFINITIONS</w:t>
      </w:r>
    </w:p>
    <w:p>
      <w:pPr>
        <w:spacing w:after="60" w:before="180"/>
      </w:pPr>
      <w:r>
        <w:rPr>
          <w:rFonts w:ascii="Times New Roman" w:cs="Times New Roman" w:eastAsia="Times New Roman" w:hAnsi="Times New Roman"/>
          <w:b/>
          <w:bCs/>
          <w:i w:val="false"/>
          <w:iCs w:val="false"/>
          <w:color w:val="444444"/>
          <w:sz w:val="21"/>
          <w:szCs w:val="21"/>
        </w:rPr>
        <w:t xml:space="preserve">2.01  Defined Terms.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(a) 'Act' means the Wyoming Limited Liability Company Act, W.S. Title 17, Chapter 29, as amended. (b) 'Agreement' means this written Operating Agreement. (c) 'Articles' means the Articles of Organization filed with the Wyoming Secretary of State. (d) 'Transferable Interest' means, per W.S. 17-29-501, each Member's right to receive distributions, expressed as a percentage of total interests. (e) 'Member' means a person admitted as a member and listed in Article III. (f) 'Majority' means Members holding more than 50% of total transferable interests.</w:t>
      </w:r>
    </w:p>
    <w:p>
      <w:pPr>
        <w:pBdr>
          <w:bottom w:val="single" w:color="1A3560" w:sz="6"/>
        </w:pBdr>
        <w:spacing w:after="100" w:before="300"/>
        <w:jc w:val="left"/>
      </w:pPr>
      <w:r>
        <w:rPr>
          <w:rFonts w:ascii="Arial" w:cs="Arial" w:eastAsia="Arial" w:hAnsi="Arial"/>
          <w:b/>
          <w:bCs/>
          <w:color w:val="1A3560"/>
          <w:sz w:val="24"/>
          <w:szCs w:val="24"/>
        </w:rPr>
        <w:t xml:space="preserve">ARTICLE III -- MEMBERS AND TRANSFERABLE INTERESTS</w:t>
      </w:r>
    </w:p>
    <w:p>
      <w:pPr>
        <w:spacing w:after="60" w:before="180"/>
      </w:pPr>
      <w:r>
        <w:rPr>
          <w:rFonts w:ascii="Times New Roman" w:cs="Times New Roman" w:eastAsia="Times New Roman" w:hAnsi="Times New Roman"/>
          <w:b/>
          <w:bCs/>
          <w:i w:val="false"/>
          <w:iCs w:val="false"/>
          <w:color w:val="444444"/>
          <w:sz w:val="21"/>
          <w:szCs w:val="21"/>
        </w:rPr>
        <w:t xml:space="preserve">3.01  Wyoming Statutory Term (W.S. 17-29-501).</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17-29-501, 'transferable interest' is the Wyoming statutory term for each member's right to receive distributions from the Company. This Agreement overrides the equal-distribution default of W.S. 17-29-404: distributions are made in proportion to each Member's transferable interest percentage listed below, NOT in equal per-capita shares.</w:t>
      </w:r>
    </w:p>
    <w:p>
      <w:pPr>
        <w:spacing w:after="60" w:before="180"/>
      </w:pPr>
      <w:r>
        <w:rPr>
          <w:rFonts w:ascii="Times New Roman" w:cs="Times New Roman" w:eastAsia="Times New Roman" w:hAnsi="Times New Roman"/>
          <w:b/>
          <w:bCs/>
          <w:i w:val="false"/>
          <w:iCs w:val="false"/>
          <w:color w:val="444444"/>
          <w:sz w:val="21"/>
          <w:szCs w:val="21"/>
        </w:rPr>
        <w:t xml:space="preserve">3.02  Member Transferable Interest Table.</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Member Name</w:t>
            </w:r>
          </w:p>
        </w:tc>
        <w:tc>
          <w:tcPr>
            <w:tcW w:type="pct" w:w="28%"/>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Address (City, WY ZIP)</w:t>
            </w:r>
          </w:p>
        </w:tc>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Transferable Interest (%)</w:t>
            </w:r>
          </w:p>
        </w:tc>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Contribution ($)</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bl>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120"/>
      </w:pPr>
      <w:r>
        <w:rPr>
          <w:rFonts w:ascii="Times New Roman" w:cs="Times New Roman" w:eastAsia="Times New Roman" w:hAnsi="Times New Roman"/>
          <w:b/>
          <w:bCs/>
          <w:i w:val="false"/>
          <w:iCs w:val="false"/>
          <w:color w:val="1A3560"/>
          <w:sz w:val="22"/>
          <w:szCs w:val="22"/>
        </w:rPr>
        <w:t xml:space="preserve">Total Transferable Interest:  </w:t>
      </w:r>
      <w:r>
        <w:rPr>
          <w:rFonts w:ascii="Times New Roman" w:cs="Times New Roman" w:eastAsia="Times New Roman" w:hAnsi="Times New Roman"/>
          <w:b/>
          <w:bCs/>
          <w:i w:val="false"/>
          <w:iCs w:val="false"/>
          <w:color w:val="1A3560"/>
          <w:sz w:val="22"/>
          <w:szCs w:val="22"/>
          <w:u w:val="single"/>
        </w:rPr>
        <w:t xml:space="preserve">100%</w:t>
      </w:r>
      <w:r>
        <w:rPr>
          <w:rFonts w:ascii="Times New Roman" w:cs="Times New Roman" w:eastAsia="Times New Roman" w:hAnsi="Times New Roman"/>
          <w:b w:val="false"/>
          <w:bCs w:val="false"/>
          <w:i w:val="false"/>
          <w:iCs w:val="false"/>
          <w:color w:val="444444"/>
          <w:sz w:val="20"/>
          <w:szCs w:val="20"/>
        </w:rPr>
        <w:t xml:space="preserve">  (must equal 100%)</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OVERRIDE (W.S. 17-29-404):  </w:t>
      </w:r>
      <w:r>
        <w:rPr>
          <w:rFonts w:ascii="Times New Roman" w:cs="Times New Roman" w:eastAsia="Times New Roman" w:hAnsi="Times New Roman"/>
          <w:b w:val="false"/>
          <w:bCs w:val="false"/>
          <w:i w:val="false"/>
          <w:iCs w:val="false"/>
          <w:color w:val="444444"/>
          <w:sz w:val="22"/>
          <w:szCs w:val="22"/>
        </w:rPr>
        <w:t xml:space="preserve">Distributions shall be made in proportion to each Member's transferable interest percentage above, NOT in equal per-capita shares as the statutory default requires. This override is authorized by W.S. 17-29-110(a).</w:t>
      </w:r>
    </w:p>
    <w:p>
      <w:pPr>
        <w:pBdr>
          <w:bottom w:val="single" w:color="1A3560" w:sz="6"/>
        </w:pBdr>
        <w:spacing w:after="100" w:before="300"/>
        <w:jc w:val="left"/>
      </w:pPr>
      <w:r>
        <w:rPr>
          <w:rFonts w:ascii="Arial" w:cs="Arial" w:eastAsia="Arial" w:hAnsi="Arial"/>
          <w:b/>
          <w:bCs/>
          <w:color w:val="1A3560"/>
          <w:sz w:val="24"/>
          <w:szCs w:val="24"/>
        </w:rPr>
        <w:t xml:space="preserve">ARTICLE IV -- CAPITAL CONTRIBUTIONS AND CAPITAL ACCOUNTS</w:t>
      </w:r>
    </w:p>
    <w:p>
      <w:pPr>
        <w:spacing w:after="60" w:before="180"/>
      </w:pPr>
      <w:r>
        <w:rPr>
          <w:rFonts w:ascii="Times New Roman" w:cs="Times New Roman" w:eastAsia="Times New Roman" w:hAnsi="Times New Roman"/>
          <w:b/>
          <w:bCs/>
          <w:i w:val="false"/>
          <w:iCs w:val="false"/>
          <w:color w:val="444444"/>
          <w:sz w:val="21"/>
          <w:szCs w:val="21"/>
        </w:rPr>
        <w:t xml:space="preserve">4.01  Initial Contributions (W.S. 17-29-402).</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Each Member's initial capital contribution is recorded in Article III and detailed in Exhibit A. Contributions may be in money, property, services performed, promissory notes, or other agreements to contribute per W.S. 17-29-402.</w:t>
      </w:r>
    </w:p>
    <w:p>
      <w:pPr>
        <w:spacing w:after="60" w:before="180"/>
      </w:pPr>
      <w:r>
        <w:rPr>
          <w:rFonts w:ascii="Times New Roman" w:cs="Times New Roman" w:eastAsia="Times New Roman" w:hAnsi="Times New Roman"/>
          <w:b/>
          <w:bCs/>
          <w:i w:val="false"/>
          <w:iCs w:val="false"/>
          <w:color w:val="444444"/>
          <w:sz w:val="21"/>
          <w:szCs w:val="21"/>
        </w:rPr>
        <w:t xml:space="preserve">4.02  Contribution Obligation (W.S. 17-29-403).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A Member's obligation to contribute is NOT excused by the Member's death, disability, or inability to perform per W.S. 17-29-403. No Member shall be required to make additional contributions without unanimous written consent of all Members.</w:t>
      </w:r>
    </w:p>
    <w:p>
      <w:pPr>
        <w:spacing w:after="20" w:before="100"/>
      </w:pPr>
      <w:r>
        <w:rPr>
          <w:rFonts w:ascii="Times New Roman" w:cs="Times New Roman" w:eastAsia="Times New Roman" w:hAnsi="Times New Roman"/>
          <w:b/>
          <w:bCs/>
          <w:i w:val="false"/>
          <w:iCs w:val="false"/>
          <w:color w:val="444444"/>
          <w:sz w:val="22"/>
          <w:szCs w:val="22"/>
        </w:rPr>
        <w:t xml:space="preserve">Capital Call Procedure (describe or 'unanimous written consent required'):</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4.03  Capital Accounts.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shall maintain a separate capital account for each Member, credited with contributions and allocated profits, and debited with distributions and allocated losses.</w:t>
      </w:r>
    </w:p>
    <w:p>
      <w:pPr>
        <w:pBdr>
          <w:bottom w:val="single" w:color="1A3560" w:sz="6"/>
        </w:pBdr>
        <w:spacing w:after="100" w:before="300"/>
        <w:jc w:val="left"/>
      </w:pPr>
      <w:r>
        <w:rPr>
          <w:rFonts w:ascii="Arial" w:cs="Arial" w:eastAsia="Arial" w:hAnsi="Arial"/>
          <w:b/>
          <w:bCs/>
          <w:color w:val="1A3560"/>
          <w:sz w:val="24"/>
          <w:szCs w:val="24"/>
        </w:rPr>
        <w:t xml:space="preserve">ARTICLE V -- DISTRIBUTIONS AND PROFIT/LOSS ALLOCATION</w:t>
      </w:r>
    </w:p>
    <w:p>
      <w:pPr>
        <w:spacing w:after="60" w:before="180"/>
      </w:pPr>
      <w:r>
        <w:rPr>
          <w:rFonts w:ascii="Times New Roman" w:cs="Times New Roman" w:eastAsia="Times New Roman" w:hAnsi="Times New Roman"/>
          <w:b/>
          <w:bCs/>
          <w:i w:val="false"/>
          <w:iCs w:val="false"/>
          <w:color w:val="444444"/>
          <w:sz w:val="21"/>
          <w:szCs w:val="21"/>
        </w:rPr>
        <w:t xml:space="preserve">5.01  Distributions (Override of W.S. 17-29-404).</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Distributions shall be made as determined by Members holding a majority of transferable interests (not per-capita), in proportion to transferable interest percentages as recorded in Article III, expressly overriding the equal-distribution default of W.S. 17-29-404.</w:t>
      </w:r>
    </w:p>
    <w:p>
      <w:pPr>
        <w:spacing w:after="80" w:before="80"/>
      </w:pPr>
      <w:r>
        <w:rPr>
          <w:rFonts w:ascii="Times New Roman" w:cs="Times New Roman" w:eastAsia="Times New Roman" w:hAnsi="Times New Roman"/>
          <w:b/>
          <w:bCs/>
          <w:i w:val="false"/>
          <w:iCs w:val="false"/>
          <w:color w:val="444444"/>
          <w:sz w:val="22"/>
          <w:szCs w:val="22"/>
        </w:rPr>
        <w:t xml:space="preserve">Distribution Schedule (quarterly / annually / as voted by members):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5.02  Profit and Loss Allocation.</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Profits and losses are allocated in proportion to transferable interest percentages in Article III, unless the Members agree otherwise in writing.</w:t>
      </w:r>
    </w:p>
    <w:p>
      <w:pPr>
        <w:spacing w:after="60" w:before="180"/>
      </w:pPr>
      <w:r>
        <w:rPr>
          <w:rFonts w:ascii="Times New Roman" w:cs="Times New Roman" w:eastAsia="Times New Roman" w:hAnsi="Times New Roman"/>
          <w:b/>
          <w:bCs/>
          <w:i w:val="false"/>
          <w:iCs w:val="false"/>
          <w:color w:val="444444"/>
          <w:sz w:val="21"/>
          <w:szCs w:val="21"/>
        </w:rPr>
        <w:t xml:space="preserve">5.03  Restriction on Distributions.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No distribution shall be made that would render the Company unable to pay its debts as they become due in the ordinary course of business.</w:t>
      </w:r>
    </w:p>
    <w:p>
      <w:pPr>
        <w:pBdr>
          <w:bottom w:val="single" w:color="1A3560" w:sz="6"/>
        </w:pBdr>
        <w:spacing w:after="100" w:before="300"/>
        <w:jc w:val="left"/>
      </w:pPr>
      <w:r>
        <w:rPr>
          <w:rFonts w:ascii="Arial" w:cs="Arial" w:eastAsia="Arial" w:hAnsi="Arial"/>
          <w:b/>
          <w:bCs/>
          <w:color w:val="1A3560"/>
          <w:sz w:val="24"/>
          <w:szCs w:val="24"/>
        </w:rPr>
        <w:t xml:space="preserve">ARTICLE VI -- VOTING THRESHOLDS AND MANAGEMENT (W.S. 17-29-407)</w:t>
      </w:r>
    </w:p>
    <w:p>
      <w:pPr>
        <w:spacing w:after="60" w:before="180"/>
      </w:pPr>
      <w:r>
        <w:rPr>
          <w:rFonts w:ascii="Times New Roman" w:cs="Times New Roman" w:eastAsia="Times New Roman" w:hAnsi="Times New Roman"/>
          <w:b/>
          <w:bCs/>
          <w:i w:val="false"/>
          <w:iCs w:val="false"/>
          <w:color w:val="444444"/>
          <w:sz w:val="21"/>
          <w:szCs w:val="21"/>
        </w:rPr>
        <w:t xml:space="preserve">6.01  Ordinary-Course Decisions (Override of W.S. 17-29-407 Per-Capita Default).</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Ordinary-course business matters shall be decided by Members holding a majority of total transferable interests (by percentage), overriding the per-capita majority default of W.S. 17-29-407.</w:t>
      </w:r>
    </w:p>
    <w:p>
      <w:pPr>
        <w:spacing w:after="60" w:before="180"/>
      </w:pPr>
      <w:r>
        <w:rPr>
          <w:rFonts w:ascii="Times New Roman" w:cs="Times New Roman" w:eastAsia="Times New Roman" w:hAnsi="Times New Roman"/>
          <w:b/>
          <w:bCs/>
          <w:i w:val="false"/>
          <w:iCs w:val="false"/>
          <w:color w:val="444444"/>
          <w:sz w:val="21"/>
          <w:szCs w:val="21"/>
        </w:rPr>
        <w:t xml:space="preserve">6.02  Acts Outside Ordinary Course (Override of All-Member-Consent Default).</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17-29-407, acts outside the ordinary course require ALL-MEMBER CONSENT by default. This Agreement modifies that default. The following require the supermajority specified below: (a) amendment of this Agreement; (b) admission of a new member (W.S. 17-29-401); (c) sale or transfer of substantially all Company assets; (d) mergers, conversions, or restructurings; (e) incurring debt above the threshold below; (f) dissolution of the Company.</w:t>
      </w:r>
    </w:p>
    <w:p>
      <w:pPr>
        <w:spacing w:after="80" w:before="80"/>
      </w:pPr>
      <w:r>
        <w:rPr>
          <w:rFonts w:ascii="Times New Roman" w:cs="Times New Roman" w:eastAsia="Times New Roman" w:hAnsi="Times New Roman"/>
          <w:b/>
          <w:bCs/>
          <w:i w:val="false"/>
          <w:iCs w:val="false"/>
          <w:color w:val="444444"/>
          <w:sz w:val="22"/>
          <w:szCs w:val="22"/>
        </w:rPr>
        <w:t xml:space="preserve">Supermajority Threshold (e.g., 66%, 75%):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80" w:before="80"/>
      </w:pPr>
      <w:r>
        <w:rPr>
          <w:rFonts w:ascii="Times New Roman" w:cs="Times New Roman" w:eastAsia="Times New Roman" w:hAnsi="Times New Roman"/>
          <w:b/>
          <w:bCs/>
          <w:i w:val="false"/>
          <w:iCs w:val="false"/>
          <w:color w:val="444444"/>
          <w:sz w:val="22"/>
          <w:szCs w:val="22"/>
        </w:rPr>
        <w:t xml:space="preserve">Material Debt Threshold ($) (above which supermajority is needed):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6.03  Actions Requiring Unanimous Member Consent.</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following continue to require unanimous written consent: (a) amendment of the Articles of Organization; (b) compromise of a Member's contribution obligation (W.S. 17-29-403); (c) any action expressly requiring unanimity elsewhere in this Agreement.</w:t>
      </w:r>
    </w:p>
    <w:p>
      <w:pPr>
        <w:spacing w:after="60" w:before="180"/>
      </w:pPr>
      <w:r>
        <w:rPr>
          <w:rFonts w:ascii="Times New Roman" w:cs="Times New Roman" w:eastAsia="Times New Roman" w:hAnsi="Times New Roman"/>
          <w:b/>
          <w:bCs/>
          <w:i w:val="false"/>
          <w:iCs w:val="false"/>
          <w:color w:val="444444"/>
          <w:sz w:val="21"/>
          <w:szCs w:val="21"/>
        </w:rPr>
        <w:t xml:space="preserve">6.04  Deadlock Procedure.</w:t>
      </w:r>
    </w:p>
    <w:p>
      <w:pPr>
        <w:spacing w:after="20" w:before="100"/>
      </w:pPr>
      <w:r>
        <w:rPr>
          <w:rFonts w:ascii="Times New Roman" w:cs="Times New Roman" w:eastAsia="Times New Roman" w:hAnsi="Times New Roman"/>
          <w:b/>
          <w:bCs/>
          <w:i w:val="false"/>
          <w:iCs w:val="false"/>
          <w:color w:val="444444"/>
          <w:sz w:val="22"/>
          <w:szCs w:val="22"/>
        </w:rPr>
        <w:t xml:space="preserve">Deadlock Resolution Procedure (e.g., mediation, tiebreaker, coin flip):</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pBdr>
          <w:bottom w:val="single" w:color="1A3560" w:sz="6"/>
        </w:pBdr>
        <w:spacing w:after="100" w:before="300"/>
        <w:jc w:val="left"/>
      </w:pPr>
      <w:r>
        <w:rPr>
          <w:rFonts w:ascii="Arial" w:cs="Arial" w:eastAsia="Arial" w:hAnsi="Arial"/>
          <w:b/>
          <w:bCs/>
          <w:color w:val="1A3560"/>
          <w:sz w:val="24"/>
          <w:szCs w:val="24"/>
        </w:rPr>
        <w:t xml:space="preserve">ARTICLE VII -- DISSOCIATION, BUYOUT, AND TRANSFER RESTRICTIONS</w:t>
      </w:r>
    </w:p>
    <w:p>
      <w:pPr>
        <w:spacing w:after="60" w:before="180"/>
      </w:pPr>
      <w:r>
        <w:rPr>
          <w:rFonts w:ascii="Times New Roman" w:cs="Times New Roman" w:eastAsia="Times New Roman" w:hAnsi="Times New Roman"/>
          <w:b/>
          <w:bCs/>
          <w:i w:val="false"/>
          <w:iCs w:val="false"/>
          <w:color w:val="444444"/>
          <w:sz w:val="21"/>
          <w:szCs w:val="21"/>
        </w:rPr>
        <w:t xml:space="preserve">7.01  Dissociation (W.S. 17-29-602 and W.S. 17-29-603).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Events causing dissociation are governed by W.S. 17-29-602. Under W.S. 17-29-601, a person may dissociate at any time, rightfully or wrongfully, by express will. This Agreement defines permitted and wrongful dissociation in Exhibit B.</w:t>
      </w:r>
    </w:p>
    <w:p>
      <w:pPr>
        <w:spacing w:after="60" w:before="180"/>
      </w:pPr>
      <w:r>
        <w:rPr>
          <w:rFonts w:ascii="Times New Roman" w:cs="Times New Roman" w:eastAsia="Times New Roman" w:hAnsi="Times New Roman"/>
          <w:b/>
          <w:bCs/>
          <w:i w:val="false"/>
          <w:iCs w:val="false"/>
          <w:color w:val="444444"/>
          <w:sz w:val="21"/>
          <w:szCs w:val="21"/>
        </w:rPr>
        <w:t xml:space="preserve">7.02  Valuation and Buyout.</w:t>
      </w:r>
    </w:p>
    <w:p>
      <w:pPr>
        <w:spacing w:after="20" w:before="100"/>
      </w:pPr>
      <w:r>
        <w:rPr>
          <w:rFonts w:ascii="Times New Roman" w:cs="Times New Roman" w:eastAsia="Times New Roman" w:hAnsi="Times New Roman"/>
          <w:b/>
          <w:bCs/>
          <w:i w:val="false"/>
          <w:iCs w:val="false"/>
          <w:color w:val="444444"/>
          <w:sz w:val="22"/>
          <w:szCs w:val="22"/>
        </w:rPr>
        <w:t xml:space="preserve">Valuation Method (e.g., book value, 3x EBITDA, independent appraisal):</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Payment Terms (lump sum / installments / timing):</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80" w:before="80"/>
      </w:pPr>
      <w:r>
        <w:rPr>
          <w:rFonts w:ascii="Times New Roman" w:cs="Times New Roman" w:eastAsia="Times New Roman" w:hAnsi="Times New Roman"/>
          <w:b/>
          <w:bCs/>
          <w:i w:val="false"/>
          <w:iCs w:val="false"/>
          <w:color w:val="444444"/>
          <w:sz w:val="22"/>
          <w:szCs w:val="22"/>
        </w:rPr>
        <w:t xml:space="preserve">Holdback for Contingent Liabilities (% and duration):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7.03  Transfer Restrictions (W.S. 17-29-502).</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No Member may transfer a transferable interest without prior written consent of Members holding a majority of transferable interests. Under W.S. 17-29-502, a transfer in violation of a transfer restriction is ineffective against a person with notice of the restriction.</w:t>
      </w:r>
    </w:p>
    <w:p>
      <w:pPr>
        <w:spacing w:after="60" w:before="180"/>
      </w:pPr>
      <w:r>
        <w:rPr>
          <w:rFonts w:ascii="Times New Roman" w:cs="Times New Roman" w:eastAsia="Times New Roman" w:hAnsi="Times New Roman"/>
          <w:b/>
          <w:bCs/>
          <w:i w:val="false"/>
          <w:iCs w:val="false"/>
          <w:color w:val="444444"/>
          <w:sz w:val="21"/>
          <w:szCs w:val="21"/>
        </w:rPr>
        <w:t xml:space="preserve">7.04  Right of First Refusal.</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Before any third-party transfer, the transferring Member must offer the interest to remaining Members pro rata at the same price and terms.</w:t>
      </w:r>
    </w:p>
    <w:p>
      <w:pPr>
        <w:spacing w:after="80" w:before="80"/>
      </w:pPr>
      <w:r>
        <w:rPr>
          <w:rFonts w:ascii="Times New Roman" w:cs="Times New Roman" w:eastAsia="Times New Roman" w:hAnsi="Times New Roman"/>
          <w:b/>
          <w:bCs/>
          <w:i w:val="false"/>
          <w:iCs w:val="false"/>
          <w:color w:val="444444"/>
          <w:sz w:val="22"/>
          <w:szCs w:val="22"/>
        </w:rPr>
        <w:t xml:space="preserve">Days for remaining Members to exercise right of first refusal: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7.05  Charging Order Shield (W.S. 17-29-503).</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A charging order against a Member's transferable interest is the EXCLUSIVE creditor remedy per W.S. 17-29-503. No creditor obtains management, voting, or information rights through a charging order or foreclosure.</w:t>
      </w:r>
    </w:p>
    <w:p>
      <w:pPr>
        <w:pBdr>
          <w:bottom w:val="single" w:color="1A3560" w:sz="6"/>
        </w:pBdr>
        <w:spacing w:after="100" w:before="300"/>
        <w:jc w:val="left"/>
      </w:pPr>
      <w:r>
        <w:rPr>
          <w:rFonts w:ascii="Arial" w:cs="Arial" w:eastAsia="Arial" w:hAnsi="Arial"/>
          <w:b/>
          <w:bCs/>
          <w:color w:val="1A3560"/>
          <w:sz w:val="24"/>
          <w:szCs w:val="24"/>
        </w:rPr>
        <w:t xml:space="preserve">ARTICLE VIII -- DISSOLUTION AND WINDING UP</w:t>
      </w:r>
    </w:p>
    <w:p>
      <w:pPr>
        <w:spacing w:after="60" w:before="180"/>
      </w:pPr>
      <w:r>
        <w:rPr>
          <w:rFonts w:ascii="Times New Roman" w:cs="Times New Roman" w:eastAsia="Times New Roman" w:hAnsi="Times New Roman"/>
          <w:b/>
          <w:bCs/>
          <w:i w:val="false"/>
          <w:iCs w:val="false"/>
          <w:color w:val="444444"/>
          <w:sz w:val="21"/>
          <w:szCs w:val="21"/>
        </w:rPr>
        <w:t xml:space="preserve">8.01  Dissolution Events (W.S. 17-29-701, 702, 705, 708).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shall be dissolved and its affairs wound up upon: (a) an event specified in this Agreement causing dissolution; (b) consent of all members, or such lower threshold as this Agreement specifies; (c) 90 consecutive days without any members, unless provided otherwise; or (d) court-ordered dissolution under W.S. 17-29-701(a)(iv) or (v). Upon dissolution, the Company shall wind up under W.S. 17-29-702 and distribute assets under W.S. 17-29-708. Administrative dissolution may also occur under W.S. 17-29-705 for failure to file the annual report within 60 days of the due date.</w:t>
      </w:r>
    </w:p>
    <w:p>
      <w:pPr>
        <w:pBdr>
          <w:bottom w:val="single" w:color="1A3560" w:sz="6"/>
        </w:pBdr>
        <w:spacing w:after="100" w:before="300"/>
        <w:jc w:val="left"/>
      </w:pPr>
      <w:r>
        <w:rPr>
          <w:rFonts w:ascii="Arial" w:cs="Arial" w:eastAsia="Arial" w:hAnsi="Arial"/>
          <w:b/>
          <w:bCs/>
          <w:color w:val="1A3560"/>
          <w:sz w:val="24"/>
          <w:szCs w:val="24"/>
        </w:rPr>
        <w:t xml:space="preserve">ARTICLE IX -- INDEMNIFICATION AND LIABILITY (W.S. 17-29-408 AND W.S. 17-29-304)</w:t>
      </w:r>
    </w:p>
    <w:p>
      <w:pPr>
        <w:spacing w:after="60" w:before="180"/>
      </w:pPr>
      <w:r>
        <w:rPr>
          <w:rFonts w:ascii="Times New Roman" w:cs="Times New Roman" w:eastAsia="Times New Roman" w:hAnsi="Times New Roman"/>
          <w:b/>
          <w:bCs/>
          <w:i w:val="false"/>
          <w:iCs w:val="false"/>
          <w:color w:val="444444"/>
          <w:sz w:val="21"/>
          <w:szCs w:val="21"/>
        </w:rPr>
        <w:t xml:space="preserve">9.01  Indemnification (W.S. 17-29-408).</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The Company shall reimburse and indemnify each Member for expenses and liabilities incurred in conducting Company business and complying with statutory duties under W.S. 17-29-408. No indemnification for gross negligence, willful misconduct, or knowing violation of law.</w:t>
      </w:r>
    </w:p>
    <w:p>
      <w:pPr>
        <w:spacing w:after="60" w:before="180"/>
      </w:pPr>
      <w:r>
        <w:rPr>
          <w:rFonts w:ascii="Times New Roman" w:cs="Times New Roman" w:eastAsia="Times New Roman" w:hAnsi="Times New Roman"/>
          <w:b/>
          <w:bCs/>
          <w:i w:val="false"/>
          <w:iCs w:val="false"/>
          <w:color w:val="444444"/>
          <w:sz w:val="21"/>
          <w:szCs w:val="21"/>
        </w:rPr>
        <w:t xml:space="preserve">9.02  Liability Shield (W.S. 17-29-304).</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Company debts are solely those of the Company. Veil-piercing analysis may consider ONLY fraud, inadequate capitalization, failure to observe legally required formalities, and intermingling -- no single factor other than fraud is sufficient by itself.</w:t>
      </w:r>
    </w:p>
    <w:p>
      <w:pPr>
        <w:pBdr>
          <w:bottom w:val="single" w:color="1A3560" w:sz="6"/>
        </w:pBdr>
        <w:spacing w:after="100" w:before="300"/>
        <w:jc w:val="left"/>
      </w:pPr>
      <w:r>
        <w:rPr>
          <w:rFonts w:ascii="Arial" w:cs="Arial" w:eastAsia="Arial" w:hAnsi="Arial"/>
          <w:b/>
          <w:bCs/>
          <w:color w:val="1A3560"/>
          <w:sz w:val="24"/>
          <w:szCs w:val="24"/>
        </w:rPr>
        <w:t xml:space="preserve">ARTICLE X -- AMENDMENTS</w:t>
      </w:r>
    </w:p>
    <w:p>
      <w:pPr>
        <w:spacing w:after="60" w:before="180"/>
      </w:pPr>
      <w:r>
        <w:rPr>
          <w:rFonts w:ascii="Times New Roman" w:cs="Times New Roman" w:eastAsia="Times New Roman" w:hAnsi="Times New Roman"/>
          <w:b/>
          <w:bCs/>
          <w:i w:val="false"/>
          <w:iCs w:val="false"/>
          <w:color w:val="444444"/>
          <w:sz w:val="21"/>
          <w:szCs w:val="21"/>
        </w:rPr>
        <w:t xml:space="preserve">10.01  Amendment Threshold (Override of W.S. 17-29-407 All-Member-Consent Default).</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Under W.S. 17-29-407, amendments require ALL-MEMBER CONSENT by default. This Agreement modifies that default. All amendments must be in writing, signed, dated, and attached.</w:t>
      </w:r>
    </w:p>
    <w:p>
      <w:pPr>
        <w:spacing w:after="80" w:before="80"/>
      </w:pPr>
      <w:r>
        <w:rPr>
          <w:rFonts w:ascii="Times New Roman" w:cs="Times New Roman" w:eastAsia="Times New Roman" w:hAnsi="Times New Roman"/>
          <w:b/>
          <w:bCs/>
          <w:i w:val="false"/>
          <w:iCs w:val="false"/>
          <w:color w:val="444444"/>
          <w:sz w:val="22"/>
          <w:szCs w:val="22"/>
        </w:rPr>
        <w:t xml:space="preserve">Amendment Threshold (e.g., unanimous, 75%, 66%):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pBdr>
          <w:bottom w:val="single" w:color="1A3560" w:sz="6"/>
        </w:pBdr>
        <w:spacing w:after="100" w:before="300"/>
        <w:jc w:val="left"/>
      </w:pPr>
      <w:r>
        <w:rPr>
          <w:rFonts w:ascii="Arial" w:cs="Arial" w:eastAsia="Arial" w:hAnsi="Arial"/>
          <w:b/>
          <w:bCs/>
          <w:color w:val="1A3560"/>
          <w:sz w:val="24"/>
          <w:szCs w:val="24"/>
        </w:rPr>
        <w:t xml:space="preserve">ARTICLE XI -- DISPUTE RESOLUTION AND GOVERNING LAW</w:t>
      </w:r>
    </w:p>
    <w:p>
      <w:pPr>
        <w:spacing w:after="60" w:before="180"/>
      </w:pPr>
      <w:r>
        <w:rPr>
          <w:rFonts w:ascii="Times New Roman" w:cs="Times New Roman" w:eastAsia="Times New Roman" w:hAnsi="Times New Roman"/>
          <w:b/>
          <w:bCs/>
          <w:i w:val="false"/>
          <w:iCs w:val="false"/>
          <w:color w:val="444444"/>
          <w:sz w:val="21"/>
          <w:szCs w:val="21"/>
        </w:rPr>
        <w:t xml:space="preserve">11.01  Governing Law (W.S. 17-29-106).</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Agreement is governed by Wyoming Statutes Title 17, Chapter 29, as amended.</w:t>
      </w:r>
    </w:p>
    <w:p>
      <w:pPr>
        <w:spacing w:after="60" w:before="180"/>
      </w:pPr>
      <w:r>
        <w:rPr>
          <w:rFonts w:ascii="Times New Roman" w:cs="Times New Roman" w:eastAsia="Times New Roman" w:hAnsi="Times New Roman"/>
          <w:b/>
          <w:bCs/>
          <w:i w:val="false"/>
          <w:iCs w:val="false"/>
          <w:color w:val="444444"/>
          <w:sz w:val="21"/>
          <w:szCs w:val="21"/>
        </w:rPr>
        <w:t xml:space="preserve">11.02  Pre-Litigation Mediation.</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Disputing Members shall attempt good-faith negotiation for thirty (30) days, then non-binding mediation in Wyoming before commencing legal action.</w:t>
      </w:r>
    </w:p>
    <w:p>
      <w:pPr>
        <w:spacing w:after="80" w:before="80"/>
      </w:pPr>
      <w:r>
        <w:rPr>
          <w:rFonts w:ascii="Times New Roman" w:cs="Times New Roman" w:eastAsia="Times New Roman" w:hAnsi="Times New Roman"/>
          <w:b/>
          <w:bCs/>
          <w:i w:val="false"/>
          <w:iCs w:val="false"/>
          <w:color w:val="444444"/>
          <w:sz w:val="22"/>
          <w:szCs w:val="22"/>
        </w:rPr>
        <w:t xml:space="preserve">Forum (County, State, e.g. 'Laramie County, Wyoming'):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60" w:before="180"/>
      </w:pPr>
      <w:r>
        <w:rPr>
          <w:rFonts w:ascii="Times New Roman" w:cs="Times New Roman" w:eastAsia="Times New Roman" w:hAnsi="Times New Roman"/>
          <w:b/>
          <w:bCs/>
          <w:i w:val="false"/>
          <w:iCs w:val="false"/>
          <w:color w:val="444444"/>
          <w:sz w:val="21"/>
          <w:szCs w:val="21"/>
        </w:rPr>
        <w:t xml:space="preserve">11.03  Judicial Dissolution Note.</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Judicial dissolution under W.S. 17-29-701(a)(iv) and (v) cannot be varied by this Agreement per W.S. 17-29-110(c).</w:t>
      </w:r>
    </w:p>
    <w:p>
      <w:r>
        <w:br w:type="page"/>
      </w:r>
    </w:p>
    <w:p>
      <w:pPr>
        <w:pBdr>
          <w:bottom w:val="single" w:color="1A3560" w:sz="6"/>
        </w:pBdr>
        <w:spacing w:after="100" w:before="300"/>
        <w:jc w:val="left"/>
      </w:pPr>
      <w:r>
        <w:rPr>
          <w:rFonts w:ascii="Arial" w:cs="Arial" w:eastAsia="Arial" w:hAnsi="Arial"/>
          <w:b/>
          <w:bCs/>
          <w:color w:val="1A3560"/>
          <w:sz w:val="24"/>
          <w:szCs w:val="24"/>
        </w:rPr>
        <w:t xml:space="preserve">SIGNATURE PAGES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IN WITNESS WHEREOF, the Members execute this Operating Agreement effective as of the Formation Date.</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Member 1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Member 2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Member 3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Member 4 Signature: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Printed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Address (Street, City, WY ZIP):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bCs/>
          <w:i w:val="false"/>
          <w:iCs w:val="false"/>
          <w:color w:val="444444"/>
          <w:sz w:val="22"/>
          <w:szCs w:val="22"/>
        </w:rPr>
        <w:t xml:space="preserve">Date Signed:  </w:t>
      </w:r>
      <w:r>
        <w:rPr>
          <w:rFonts w:ascii="Times New Roman" w:cs="Times New Roman" w:eastAsia="Times New Roman" w:hAnsi="Times New Roman"/>
          <w:b w:val="false"/>
          <w:bCs w:val="false"/>
          <w:i w:val="false"/>
          <w:iCs w:val="false"/>
          <w:color w:val="444444"/>
          <w:sz w:val="22"/>
          <w:szCs w:val="22"/>
          <w:u w:val="single"/>
        </w:rPr>
        <w:t xml:space="preserve">____________________________</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r>
        <w:br w:type="page"/>
      </w:r>
    </w:p>
    <w:p>
      <w:pPr>
        <w:shd w:fill="1A3560" w:val="clear"/>
        <w:spacing w:after="200" w:before="200"/>
        <w:jc w:val="center"/>
      </w:pPr>
      <w:r>
        <w:rPr>
          <w:rFonts w:ascii="Arial" w:cs="Arial" w:eastAsia="Arial" w:hAnsi="Arial"/>
          <w:b/>
          <w:bCs/>
          <w:color w:val="FFFFFF"/>
          <w:sz w:val="30"/>
          <w:szCs w:val="30"/>
        </w:rPr>
        <w:t xml:space="preserve">EXHIBIT A -- Member Capital Contribution Schedule</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Pursuant to W.S. 17-29-402, each Member's initial capital contribution:</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Member Name</w:t>
            </w:r>
          </w:p>
        </w:tc>
        <w:tc>
          <w:tcPr>
            <w:tcW w:type="pct" w:w="28%"/>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Address (City, WY ZIP)</w:t>
            </w:r>
          </w:p>
        </w:tc>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Transferable Interest (%)</w:t>
            </w:r>
          </w:p>
        </w:tc>
        <w:tc>
          <w:tcPr>
            <w:tcW w:type="pct" w:w="24%"/>
            <w:shd w:fill="1A3560" w:val="clear"/>
          </w:tcPr>
          <w:p>
            <w:pPr>
              <w:spacing w:after="40" w:before="40"/>
              <w:jc w:val="center"/>
            </w:pPr>
            <w:r>
              <w:rPr>
                <w:rFonts w:ascii="Times New Roman" w:cs="Times New Roman" w:eastAsia="Times New Roman" w:hAnsi="Times New Roman"/>
                <w:b/>
                <w:bCs/>
                <w:i w:val="false"/>
                <w:iCs w:val="false"/>
                <w:color w:val="FFFFFF"/>
                <w:sz w:val="18"/>
                <w:szCs w:val="18"/>
              </w:rPr>
              <w:t xml:space="preserve">Contribution ($)</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r>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8%"/>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c>
          <w:tcPr>
            <w:tcW w:type="pct" w:w="24%"/>
            <w:shd w:fill="F0F0F0" w:val="clear"/>
          </w:tcPr>
          <w:p>
            <w:pPr>
              <w:spacing w:after="40" w:before="40"/>
            </w:pPr>
            <w:r>
              <w:rPr>
                <w:rFonts w:ascii="Times New Roman" w:cs="Times New Roman" w:eastAsia="Times New Roman" w:hAnsi="Times New Roman"/>
                <w:b w:val="false"/>
                <w:bCs w:val="false"/>
                <w:i w:val="false"/>
                <w:iCs w:val="false"/>
                <w:color w:val="444444"/>
                <w:sz w:val="18"/>
                <w:szCs w:val="18"/>
                <w:u w:val="single"/>
              </w:rPr>
              <w:t xml:space="preserve">____________________________</w:t>
            </w:r>
          </w:p>
        </w:tc>
      </w:tr>
    </w:tbl>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20" w:before="120"/>
      </w:pPr>
      <w:r>
        <w:rPr>
          <w:rFonts w:ascii="Times New Roman" w:cs="Times New Roman" w:eastAsia="Times New Roman" w:hAnsi="Times New Roman"/>
          <w:b/>
          <w:bCs/>
          <w:i w:val="false"/>
          <w:iCs w:val="false"/>
          <w:color w:val="1A3560"/>
          <w:sz w:val="22"/>
          <w:szCs w:val="22"/>
        </w:rPr>
        <w:t xml:space="preserve">Total Transferable Interest:  </w:t>
      </w:r>
      <w:r>
        <w:rPr>
          <w:rFonts w:ascii="Times New Roman" w:cs="Times New Roman" w:eastAsia="Times New Roman" w:hAnsi="Times New Roman"/>
          <w:b/>
          <w:bCs/>
          <w:i w:val="false"/>
          <w:iCs w:val="false"/>
          <w:color w:val="1A3560"/>
          <w:sz w:val="22"/>
          <w:szCs w:val="22"/>
          <w:u w:val="single"/>
        </w:rPr>
        <w:t xml:space="preserve">100%</w:t>
      </w:r>
      <w:r>
        <w:rPr>
          <w:rFonts w:ascii="Times New Roman" w:cs="Times New Roman" w:eastAsia="Times New Roman" w:hAnsi="Times New Roman"/>
          <w:b w:val="false"/>
          <w:bCs w:val="false"/>
          <w:i w:val="false"/>
          <w:iCs w:val="false"/>
          <w:color w:val="444444"/>
          <w:sz w:val="20"/>
          <w:szCs w:val="20"/>
        </w:rPr>
        <w:t xml:space="preserve">  (must equal 100%)</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Company Name: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Note: Transferable interest percentages override the equal-distribution default of W.S. 17-29-404.</w:t>
      </w:r>
    </w:p>
    <w:p>
      <w:r>
        <w:br w:type="page"/>
      </w:r>
    </w:p>
    <w:p>
      <w:pPr>
        <w:shd w:fill="1A3560" w:val="clear"/>
        <w:spacing w:after="200" w:before="200"/>
        <w:jc w:val="center"/>
      </w:pPr>
      <w:r>
        <w:rPr>
          <w:rFonts w:ascii="Arial" w:cs="Arial" w:eastAsia="Arial" w:hAnsi="Arial"/>
          <w:b/>
          <w:bCs/>
          <w:color w:val="FFFFFF"/>
          <w:sz w:val="30"/>
          <w:szCs w:val="30"/>
        </w:rPr>
        <w:t xml:space="preserve">EXHIBIT B -- Buy-Sell and Dissociation Procedures</w:t>
      </w:r>
    </w:p>
    <w:p>
      <w:pPr>
        <w:spacing w:after="12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Exhibit supplements Article VII. Under W.S. 17-29-602, dissociation events include voluntary withdrawal, death, bankruptcy, expulsion, and judicial dissociation.</w:t>
      </w:r>
    </w:p>
    <w:p>
      <w:pPr>
        <w:spacing w:after="80" w:before="80"/>
      </w:pPr>
      <w:r>
        <w:rPr>
          <w:rFonts w:ascii="Times New Roman" w:cs="Times New Roman" w:eastAsia="Times New Roman" w:hAnsi="Times New Roman"/>
          <w:b/>
          <w:bCs/>
          <w:i w:val="false"/>
          <w:iCs w:val="false"/>
          <w:color w:val="444444"/>
          <w:sz w:val="22"/>
          <w:szCs w:val="22"/>
        </w:rPr>
        <w:t xml:space="preserve">Dissociation Notice Period (e.g., 30 days written notice):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Wrongful Dissociation Definition and Consequences:</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Buyout Valuation Formula (detailed):</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Installment Payment Schedule:</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80" w:before="80"/>
      </w:pPr>
      <w:r>
        <w:rPr>
          <w:rFonts w:ascii="Times New Roman" w:cs="Times New Roman" w:eastAsia="Times New Roman" w:hAnsi="Times New Roman"/>
          <w:b/>
          <w:bCs/>
          <w:i w:val="false"/>
          <w:iCs w:val="false"/>
          <w:color w:val="444444"/>
          <w:sz w:val="22"/>
          <w:szCs w:val="22"/>
        </w:rPr>
        <w:t xml:space="preserve">Holdback Percentage and Duration:  </w:t>
      </w: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w:t>
      </w:r>
    </w:p>
    <w:p>
      <w:pPr>
        <w:spacing w:after="20" w:before="100"/>
      </w:pPr>
      <w:r>
        <w:rPr>
          <w:rFonts w:ascii="Times New Roman" w:cs="Times New Roman" w:eastAsia="Times New Roman" w:hAnsi="Times New Roman"/>
          <w:b/>
          <w:bCs/>
          <w:i w:val="false"/>
          <w:iCs w:val="false"/>
          <w:color w:val="444444"/>
          <w:sz w:val="22"/>
          <w:szCs w:val="22"/>
        </w:rPr>
        <w:t xml:space="preserve">Expulsion Procedure (grounds and process):</w:t>
      </w:r>
    </w:p>
    <w:p>
      <w:pPr>
        <w:spacing w:after="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pPr>
        <w:spacing w:after="100" w:before="0"/>
      </w:pPr>
      <w:r>
        <w:rPr>
          <w:rFonts w:ascii="Times New Roman" w:cs="Times New Roman" w:eastAsia="Times New Roman" w:hAnsi="Times New Roman"/>
          <w:b w:val="false"/>
          <w:bCs w:val="false"/>
          <w:i w:val="false"/>
          <w:iCs w:val="false"/>
          <w:color w:val="444444"/>
          <w:sz w:val="22"/>
          <w:szCs w:val="22"/>
          <w:u w:val="single"/>
        </w:rPr>
        <w:t xml:space="preserve">________________________________________________________________________</w:t>
      </w:r>
    </w:p>
    <w:p>
      <w:r>
        <w:br w:type="page"/>
      </w:r>
    </w:p>
    <w:p>
      <w:pPr>
        <w:pBdr>
          <w:bottom w:val="single" w:color="1A3560" w:sz="6"/>
        </w:pBdr>
        <w:spacing w:after="100" w:before="300"/>
        <w:jc w:val="left"/>
      </w:pPr>
      <w:r>
        <w:rPr>
          <w:rFonts w:ascii="Arial" w:cs="Arial" w:eastAsia="Arial" w:hAnsi="Arial"/>
          <w:b/>
          <w:bCs/>
          <w:color w:val="1A3560"/>
          <w:sz w:val="24"/>
          <w:szCs w:val="24"/>
        </w:rPr>
        <w:t xml:space="preserve">LEGAL DISCLAIMER AND RESOURCES</w:t>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This template is provided by Boost Suite for general informational and educational purposes only. It does not constitute legal advice and does not create an attorney-client relationship. Wyoming LLC operating agreements are governed by the Wyoming Limited Liability Company Act, Wyoming Statutes Title 17, Chapter 29.</w:t>
      </w:r>
    </w:p>
    <w:p>
      <w:pPr>
        <w:spacing w:after="4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Statutory sections cited in this document:</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17-29-102(a)(xiv) -- Definition of operating agreement (oral, written, implied, combined; sole member included)</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17-29-104 -- Nature, purpose, and duration of a Wyoming LLC</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17-29-106 -- Wyoming governing law for internal affairs (non-waivable)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17-29-110 -- Operating agreement scope, function, and non-overridable limitations (subsection (c))</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17-29-113 -- Registered office and registered agent (physical WY address required; no P.O. boxes)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17-29-201 -- Formation of LLC and Articles of Organization ($100 filing fee; up to 15 business days)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17-29-209 -- Annual report due on first day of anniversary month of formation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17-29-304 -- Liability shield; veil-piercing limited to fraud, capitalization, formalities, intermingling</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17-29-401 -- Becoming a member; admission requirements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17-29-402 -- Contributions (money, property, services, promissory notes, other agreements)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17-29-403 -- Contribution obligation not excused by death, disability, or inability to perform</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17-29-404 -- Equal-distribution default (MAJOR TRAP for multi-member LLCs)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17-29-407 -- Management; member-managed default; manager-managed opt-in; voting defaults</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17-29-408 -- Reimbursement, indemnification, advancement, and insurance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17-29-409 -- Duty of loyalty, duty of care, good faith and fair dealing</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17-29-410 -- Right of members to information (non-waivable)</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17-29-501 -- Nature of transferable interest (Wyoming statutory term)</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17-29-502 -- Transfer of transferable interest; effect of unauthorized transfer</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17-29-503 -- Charging order (exclusive creditor remedy)</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17-29-602 -- Events causing dissociation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17-29-603 -- Effect of dissociation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17-29-701 -- Events causing dissolution</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17-29-702 -- Winding up; W.S. 17-29-708 distribution of assets in winding up</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W.S. 17-29-705 -- Administrative forfeiture; 60-day annual report delinquency risk</w:t>
      </w:r>
    </w:p>
    <w:p>
      <w:pPr>
        <w:spacing w:after="20" w:before="20"/>
        <w:ind w:left="431"/>
      </w:pPr>
      <w:r>
        <w:rPr>
          <w:rFonts w:ascii="Times New Roman" w:cs="Times New Roman" w:eastAsia="Times New Roman" w:hAnsi="Times New Roman"/>
          <w:b w:val="false"/>
          <w:bCs w:val="false"/>
          <w:i w:val="false"/>
          <w:iCs w:val="false"/>
          <w:color w:val="444444"/>
          <w:sz w:val="20"/>
          <w:szCs w:val="20"/>
        </w:rPr>
        <w:t xml:space="preserve">•  Wyoming HB0069 (eff. July 1, 2025) -- Foreign adversary ownership as grounds for dissolution</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444444"/>
          <w:sz w:val="22"/>
          <w:szCs w:val="22"/>
        </w:rPr>
        <w:t xml:space="preserve">Important Wyoming-specific traps and defaults: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(1)  </w:t>
      </w:r>
      <w:r>
        <w:rPr>
          <w:rFonts w:ascii="Times New Roman" w:cs="Times New Roman" w:eastAsia="Times New Roman" w:hAnsi="Times New Roman"/>
          <w:b w:val="false"/>
          <w:bCs w:val="false"/>
          <w:i w:val="false"/>
          <w:iCs w:val="false"/>
          <w:color w:val="444444"/>
          <w:sz w:val="20"/>
          <w:szCs w:val="20"/>
        </w:rPr>
        <w:t xml:space="preserve">W.S. 17-29-404 equal-distribution default: every member receives EQUAL distributions before dissolution REGARDLESS of capital contributed. A member contributing $180,000 and a member contributing $20,000 split profits 50/50 by default. This MUST be overridden explicitly.</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(2)  </w:t>
      </w:r>
      <w:r>
        <w:rPr>
          <w:rFonts w:ascii="Times New Roman" w:cs="Times New Roman" w:eastAsia="Times New Roman" w:hAnsi="Times New Roman"/>
          <w:b w:val="false"/>
          <w:bCs w:val="false"/>
          <w:i w:val="false"/>
          <w:iCs w:val="false"/>
          <w:color w:val="444444"/>
          <w:sz w:val="20"/>
          <w:szCs w:val="20"/>
        </w:rPr>
        <w:t xml:space="preserve">W.S. 17-29-407 equal-management default: each member has equal management rights; ordinary-course decisions require majority; acts outside ordinary course require ALL-MEMBER CONSENT; amendments require all-member consent. Override all three thresholds.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(3)  </w:t>
      </w:r>
      <w:r>
        <w:rPr>
          <w:rFonts w:ascii="Times New Roman" w:cs="Times New Roman" w:eastAsia="Times New Roman" w:hAnsi="Times New Roman"/>
          <w:b w:val="false"/>
          <w:bCs w:val="false"/>
          <w:i w:val="false"/>
          <w:iCs w:val="false"/>
          <w:color w:val="444444"/>
          <w:sz w:val="20"/>
          <w:szCs w:val="20"/>
        </w:rPr>
        <w:t xml:space="preserve">Manager-managed opt-in: under W.S. 17-29-407(a), the Articles of Organization OR the operating agreement must expressly state 'manager-managed' or words of similar import. Wyoming allows OA-only designation -- including in filed Articles improves third-party reliance.</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(4)  </w:t>
      </w:r>
      <w:r>
        <w:rPr>
          <w:rFonts w:ascii="Times New Roman" w:cs="Times New Roman" w:eastAsia="Times New Roman" w:hAnsi="Times New Roman"/>
          <w:b w:val="false"/>
          <w:bCs w:val="false"/>
          <w:i w:val="false"/>
          <w:iCs w:val="false"/>
          <w:color w:val="444444"/>
          <w:sz w:val="20"/>
          <w:szCs w:val="20"/>
        </w:rPr>
        <w:t xml:space="preserve">Annual Report License Tax: greater of $60 or $0.0002 of Wyoming-located assets, due on the FIRST DAY of the anniversary month of formation (W.S. 17-29-209). This is NOT a franchise tax (Wyoming has no franchise tax). Miss it by 60 days and W.S. 17-29-705 allows administrative dissolution.</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(5)  </w:t>
      </w:r>
      <w:r>
        <w:rPr>
          <w:rFonts w:ascii="Times New Roman" w:cs="Times New Roman" w:eastAsia="Times New Roman" w:hAnsi="Times New Roman"/>
          <w:b w:val="false"/>
          <w:bCs w:val="false"/>
          <w:i w:val="false"/>
          <w:iCs w:val="false"/>
          <w:color w:val="444444"/>
          <w:sz w:val="20"/>
          <w:szCs w:val="20"/>
        </w:rPr>
        <w:t xml:space="preserve">Registered agent: W.S. 17-29-113 requires a physical Wyoming street address. P.O. boxes, virtual addresses, mail-forwarding services, UPS Stores, and FedEx Stores do NOT qualify per the Wyoming Secretary of State FAQ.</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(6)  </w:t>
      </w:r>
      <w:r>
        <w:rPr>
          <w:rFonts w:ascii="Times New Roman" w:cs="Times New Roman" w:eastAsia="Times New Roman" w:hAnsi="Times New Roman"/>
          <w:b w:val="false"/>
          <w:bCs w:val="false"/>
          <w:i w:val="false"/>
          <w:iCs w:val="false"/>
          <w:color w:val="444444"/>
          <w:sz w:val="20"/>
          <w:szCs w:val="20"/>
        </w:rPr>
        <w:t xml:space="preserve">Charging order = EXCLUSIVE creditor remedy (W.S. 17-29-503). No creditor of a member may force dissolution or acquire management rights through a charging order or foreclosure.</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(7)  </w:t>
      </w:r>
      <w:r>
        <w:rPr>
          <w:rFonts w:ascii="Times New Roman" w:cs="Times New Roman" w:eastAsia="Times New Roman" w:hAnsi="Times New Roman"/>
          <w:b w:val="false"/>
          <w:bCs w:val="false"/>
          <w:i w:val="false"/>
          <w:iCs w:val="false"/>
          <w:color w:val="444444"/>
          <w:sz w:val="20"/>
          <w:szCs w:val="20"/>
        </w:rPr>
        <w:t xml:space="preserve">Non-waivable provisions under W.S. 17-29-110(c): the Agreement cannot vary Wyoming governing law, eliminate good faith and fair dealing (W.S. 17-29-409(d)), unreasonably restrict information rights (W.S. 17-29-410), or vary the court's dissolution and winding-up power.</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(8)  </w:t>
      </w:r>
      <w:r>
        <w:rPr>
          <w:rFonts w:ascii="Times New Roman" w:cs="Times New Roman" w:eastAsia="Times New Roman" w:hAnsi="Times New Roman"/>
          <w:b w:val="false"/>
          <w:bCs w:val="false"/>
          <w:i w:val="false"/>
          <w:iCs w:val="false"/>
          <w:color w:val="444444"/>
          <w:sz w:val="20"/>
          <w:szCs w:val="20"/>
        </w:rPr>
        <w:t xml:space="preserve">Privacy: Wyoming Articles of Organization do NOT list member names. The operating agreement is the authoritative internal ownership record. Keep signed copies with company records.</w:t>
      </w:r>
    </w:p>
    <w:p>
      <w:pPr>
        <w:spacing w:after="40" w:before="40"/>
        <w:ind w:left="360" w:hanging="360"/>
      </w:pPr>
      <w:r>
        <w:rPr>
          <w:rFonts w:ascii="Times New Roman" w:cs="Times New Roman" w:eastAsia="Times New Roman" w:hAnsi="Times New Roman"/>
          <w:b/>
          <w:bCs/>
          <w:i w:val="false"/>
          <w:iCs w:val="false"/>
          <w:color w:val="444444"/>
          <w:sz w:val="20"/>
          <w:szCs w:val="20"/>
        </w:rPr>
        <w:t xml:space="preserve">(9)  </w:t>
      </w:r>
      <w:r>
        <w:rPr>
          <w:rFonts w:ascii="Times New Roman" w:cs="Times New Roman" w:eastAsia="Times New Roman" w:hAnsi="Times New Roman"/>
          <w:b w:val="false"/>
          <w:bCs w:val="false"/>
          <w:i w:val="false"/>
          <w:iCs w:val="false"/>
          <w:color w:val="444444"/>
          <w:sz w:val="20"/>
          <w:szCs w:val="20"/>
        </w:rPr>
        <w:t xml:space="preserve">2025-2026 updates: HB0069 (eff. July 1, 2025) -- foreign adversary ownership is now grounds for administrative dissolution under W.S. 17-29-705. FinCEN BOI: U.S. companies and U.S. persons are exempt from BOI reporting under the March 21, 2025 interim final rule; foreign reporting companies remain subject to separate rules.</w:t>
      </w:r>
    </w:p>
    <w:p>
      <w:pPr>
        <w:spacing w:after="8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val="false"/>
          <w:iCs w:val="false"/>
          <w:color w:val="444444"/>
          <w:sz w:val="22"/>
          <w:szCs w:val="22"/>
        </w:rPr>
        <w:t xml:space="preserve">Each LLC's situation is unique. Consult a licensed Wyoming business attorney before executing any operating agreement. The Wyoming State Bar Lawyer Referral Service is available at wsbar.org. Wyoming does NOT require LLC publication. No franchise tax applies to Wyoming LLCs.</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bCs/>
          <w:i w:val="false"/>
          <w:iCs w:val="false"/>
          <w:color w:val="1A3560"/>
          <w:sz w:val="22"/>
          <w:szCs w:val="22"/>
        </w:rPr>
        <w:t xml:space="preserve">Boost Suite Wyoming LLC Resources:</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Operating Agreement template:  </w:t>
      </w:r>
      <w:r>
        <w:rPr>
          <w:rFonts w:ascii="Times New Roman" w:cs="Times New Roman" w:eastAsia="Times New Roman" w:hAnsi="Times New Roman"/>
          <w:b w:val="false"/>
          <w:bCs w:val="false"/>
          <w:i w:val="false"/>
          <w:iCs w:val="false"/>
          <w:color w:val="2563EB"/>
          <w:sz w:val="20"/>
          <w:szCs w:val="20"/>
          <w:u w:val="single"/>
        </w:rPr>
        <w:t xml:space="preserve">https://boostsuite.com/llc-operating-agreement/wyoming/</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How to start an LLC in Wyoming:  </w:t>
      </w:r>
      <w:r>
        <w:rPr>
          <w:rFonts w:ascii="Times New Roman" w:cs="Times New Roman" w:eastAsia="Times New Roman" w:hAnsi="Times New Roman"/>
          <w:b w:val="false"/>
          <w:bCs w:val="false"/>
          <w:i w:val="false"/>
          <w:iCs w:val="false"/>
          <w:color w:val="2563EB"/>
          <w:sz w:val="20"/>
          <w:szCs w:val="20"/>
          <w:u w:val="single"/>
        </w:rPr>
        <w:t xml:space="preserve">https://boostsuite.com/how-to-start-an-llc/wyoming/</w:t>
      </w:r>
    </w:p>
    <w:p>
      <w:pPr>
        <w:spacing w:after="100" w:before="80"/>
        <w:jc w:val="both"/>
      </w:pPr>
      <w:r>
        <w:rPr>
          <w:rFonts w:ascii="Times New Roman" w:cs="Times New Roman" w:eastAsia="Times New Roman" w:hAnsi="Times New Roman"/>
          <w:b w:val="false"/>
          <w:bCs w:val="false"/>
          <w:i w:val="false"/>
          <w:iCs w:val="false"/>
          <w:color w:val="444444"/>
          <w:sz w:val="20"/>
          <w:szCs w:val="20"/>
        </w:rPr>
        <w:t xml:space="preserve">Wyoming LLC cost breakdown:  </w:t>
      </w:r>
      <w:r>
        <w:rPr>
          <w:rFonts w:ascii="Times New Roman" w:cs="Times New Roman" w:eastAsia="Times New Roman" w:hAnsi="Times New Roman"/>
          <w:b w:val="false"/>
          <w:bCs w:val="false"/>
          <w:i w:val="false"/>
          <w:iCs w:val="false"/>
          <w:color w:val="2563EB"/>
          <w:sz w:val="20"/>
          <w:szCs w:val="20"/>
          <w:u w:val="single"/>
        </w:rPr>
        <w:t xml:space="preserve">https://boostsuite.com/how-to-start-an-llc/cost/wyoming/</w:t>
      </w:r>
    </w:p>
    <w:p>
      <w:pPr>
        <w:spacing w:after="60" w:before="0"/>
      </w:pPr>
      <w:r>
        <w:rPr>
          <w:rFonts w:ascii="Times New Roman" w:cs="Times New Roman" w:eastAsia="Times New Roman" w:hAnsi="Times New Roman"/>
          <w:b w:val="false"/>
          <w:bCs w:val="false"/>
          <w:i w:val="false"/>
          <w:iCs w:val="false"/>
          <w:color w:val="444444"/>
          <w:sz w:val="22"/>
          <w:szCs w:val="22"/>
        </w:rPr>
        <w:t xml:space="preserve"/>
      </w:r>
    </w:p>
    <w:p>
      <w:pPr>
        <w:spacing w:after="100" w:before="80"/>
        <w:jc w:val="both"/>
      </w:pPr>
      <w:r>
        <w:rPr>
          <w:rFonts w:ascii="Times New Roman" w:cs="Times New Roman" w:eastAsia="Times New Roman" w:hAnsi="Times New Roman"/>
          <w:b w:val="false"/>
          <w:bCs w:val="false"/>
          <w:i/>
          <w:iCs/>
          <w:color w:val="888888"/>
          <w:sz w:val="18"/>
          <w:szCs w:val="18"/>
        </w:rPr>
        <w:t xml:space="preserve">(c) 2026 Boost Suite -- All rights reserved.</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jc w:val="center"/>
    </w:pPr>
    <w:r>
      <w:rPr>
        <w:rFonts w:ascii="Times New Roman" w:cs="Times New Roman" w:eastAsia="Times New Roman" w:hAnsi="Times New Roman"/>
        <w:b w:val="false"/>
        <w:bCs w:val="false"/>
        <w:i w:val="false"/>
        <w:iCs w:val="false"/>
        <w:color w:val="888888"/>
        <w:sz w:val="16"/>
        <w:szCs w:val="16"/>
      </w:rPr>
      <w:t xml:space="preserve">WY LLC Operating Agreement -- Multi-Member  |  Boost Suite -- boostsuite.com  |  Page </w:t>
    </w:r>
    <w:r>
      <w:rPr>
        <w:color w:val="888888"/>
        <w:sz w:val="16"/>
        <w:szCs w:val="16"/>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color w:val="888888"/>
        <w:sz w:val="16"/>
        <w:szCs w:val="16"/>
      </w:rPr>
      <w:t xml:space="preserve"> of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2026-05-05T02:48:44.542Z</dcterms:created>
  <dcterms:modified xsi:type="dcterms:W3CDTF">2026-05-05T02:48:44.542Z</dcterms:modified>
</cp:coreProperties>
</file>

<file path=docProps/custom.xml><?xml version="1.0" encoding="utf-8"?>
<Properties xmlns="http://schemas.openxmlformats.org/officeDocument/2006/custom-properties" xmlns:vt="http://schemas.openxmlformats.org/officeDocument/2006/docPropsVTypes"/>
</file>