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COMMONWEALTH OF VIRGINIA</w:t>
      </w:r>
    </w:p>
    <w:p>
      <w:pPr>
        <w:spacing w:after="60" w:before="0"/>
        <w:jc w:val="center"/>
      </w:pPr>
      <w:r>
        <w:rPr>
          <w:rFonts w:ascii="Times New Roman" w:cs="Times New Roman" w:eastAsia="Times New Roman" w:hAnsi="Times New Roman"/>
          <w:b/>
          <w:bCs/>
          <w:sz w:val="28"/>
          <w:szCs w:val="28"/>
        </w:rPr>
        <w:t xml:space="preserve">MANAGER-MANAGED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Va. Code Title 13.1, Chapter 12</w:t>
      </w:r>
    </w:p>
    <w:p>
      <w:pPr>
        <w:spacing w:after="200" w:before="0"/>
        <w:jc w:val="center"/>
      </w:pPr>
      <w:r>
        <w:rPr>
          <w:rFonts w:ascii="Times New Roman" w:cs="Times New Roman" w:eastAsia="Times New Roman" w:hAnsi="Times New Roman"/>
          <w:sz w:val="20"/>
          <w:szCs w:val="20"/>
        </w:rPr>
        <w:t xml:space="preserve">(Virginia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formed as a Virginia limited liability company by filing Articles of Organization (Form LLC-1011) with the Virginia State Corporation Commission (SCC), pursuant to the Virginia Limited Liability Company Act, Code of Virginia, Title 13.1, Chapter 12 (the "Act"). This Operating Agreement is entered into pursuant to Va. Code § 13.1-1023. Pursuant to Va. Code § 13.1-1001.1(C), this Agreement shall be construed to give "maximum effect to the principle of freedom of contract and of enforcing operating agreements."</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filed with the Virginia SCC is:</w:t>
      </w:r>
    </w:p>
    <w:p>
      <w:pPr>
        <w:pStyle w:val="BJ"/>
      </w:pPr>
      <w:r>
        <w:rPr>
          <w:rFonts w:ascii="Times New Roman" w:cs="Times New Roman" w:eastAsia="Times New Roman" w:hAnsi="Times New Roman"/>
          <w:color w:val="2244AA"/>
          <w:sz w:val="24"/>
          <w:szCs w:val="24"/>
          <w:u w:val="single"/>
        </w:rPr>
        <w:t xml:space="preserve">[Company legal name — must match Form LLC-1011 exactly]</w:t>
      </w:r>
    </w:p>
    <w:p>
      <w:pPr>
        <w:pStyle w:val="BJ"/>
      </w:pPr>
      <w:r>
        <w:rPr>
          <w:rFonts w:ascii="Times New Roman" w:cs="Times New Roman" w:eastAsia="Times New Roman" w:hAnsi="Times New Roman"/>
          <w:sz w:val="24"/>
          <w:szCs w:val="24"/>
        </w:rPr>
        <w:t xml:space="preserve">NOTE: The LLC name in this Agreement must match Form LLC-1011 exactly, including punctuation and the exact form of 'LLC' or 'L.L.C.' A mismatch is the most common cause of bank account opening delays.</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[VA]</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 and Registered Office.</w:t>
      </w:r>
    </w:p>
    <w:p>
      <w:pPr>
        <w:pStyle w:val="BJ"/>
      </w:pPr>
      <w:r>
        <w:rPr>
          <w:rFonts w:ascii="Times New Roman" w:cs="Times New Roman" w:eastAsia="Times New Roman" w:hAnsi="Times New Roman"/>
          <w:sz w:val="24"/>
          <w:szCs w:val="24"/>
        </w:rPr>
        <w:t xml:space="preserve">The Company shall at all times maintain a registered agent and registered office in the Commonwealth of Virginia. The registered agent and office must match the Articles of Organization on file with the SCC. The current registered agent is:</w:t>
      </w:r>
    </w:p>
    <w:p>
      <w:pPr>
        <w:pStyle w:val="BJ"/>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Registered Office Address: </w:t>
      </w:r>
      <w:r>
        <w:rPr>
          <w:rFonts w:ascii="Times New Roman" w:cs="Times New Roman" w:eastAsia="Times New Roman" w:hAnsi="Times New Roman"/>
          <w:color w:val="2244AA"/>
          <w:sz w:val="24"/>
          <w:szCs w:val="24"/>
          <w:u w:val="single"/>
        </w:rPr>
        <w:t xml:space="preserve">[VA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VA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manager-managed LLC. Pursuant to Va. Code § 13.1-1024, the Articles of Organization and this Operating Agreement delegate management to the Manager(s) in Article V. The Articles of Organization (Form LLC-1011) disclose the manager-managed structure; this Agreement must remain consistent with that public filing.</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Virginia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date the Articles of Organization were accepted by the Virginia SCC, as reflected in the Certificate of Organization,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ascribed to them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Virginia Limited Liability Company Act, Code of Virginia, Title 13.1, Chapter 12, §§ 13.1-1000 et seq., as amended.</w:t>
      </w:r>
    </w:p>
    <w:p>
      <w:pPr>
        <w:pStyle w:val="BJ"/>
      </w:pPr>
      <w:r>
        <w:rPr>
          <w:rFonts w:ascii="Times New Roman" w:cs="Times New Roman" w:eastAsia="Times New Roman" w:hAnsi="Times New Roman"/>
          <w:b/>
          <w:bCs/>
          <w:sz w:val="24"/>
          <w:szCs w:val="24"/>
        </w:rPr>
        <w:t xml:space="preserve">"Annual Registration Fee" </w:t>
      </w:r>
      <w:r>
        <w:rPr>
          <w:rFonts w:ascii="Times New Roman" w:cs="Times New Roman" w:eastAsia="Times New Roman" w:hAnsi="Times New Roman"/>
          <w:sz w:val="24"/>
          <w:szCs w:val="24"/>
        </w:rPr>
        <w:t xml:space="preserve">means the $50 annual registration fee under Va. Code § 13.1-1062, due by the last day of the anniversary month each year, payable to the SCC through the Clerk's Information System (CIS). Virginia LLCs do NOT file an annual report; they pay an annual registration fee. A $25 late penalty applies under § 13.1-1064. Non-payment may result in administrative cancellation.</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of the Company (Form LLC-1011) filed with the Virginia State Corporation Commission, as may be amended.</w:t>
      </w:r>
    </w:p>
    <w:p>
      <w:pPr>
        <w:pStyle w:val="BJ"/>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maintained for each Member reflecting contributions, allocated profits/losses, and distributions taken.</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by a Member, as recorded in the LLC's records per Exhibit 1. Under Va. Code Article 6, § 13.1-1030, profit/loss allocation and distributions default to recorded contribution value absent contrary written provisions.</w:t>
      </w:r>
    </w:p>
    <w:p>
      <w:pPr>
        <w:pStyle w:val="BJ"/>
      </w:pPr>
      <w:r>
        <w:rPr>
          <w:rFonts w:ascii="Times New Roman" w:cs="Times New Roman" w:eastAsia="Times New Roman" w:hAnsi="Times New Roman"/>
          <w:b/>
          <w:bCs/>
          <w:sz w:val="24"/>
          <w:szCs w:val="24"/>
        </w:rPr>
        <w:t xml:space="preserve">"Certificate of Organization" </w:t>
      </w:r>
      <w:r>
        <w:rPr>
          <w:rFonts w:ascii="Times New Roman" w:cs="Times New Roman" w:eastAsia="Times New Roman" w:hAnsi="Times New Roman"/>
          <w:sz w:val="24"/>
          <w:szCs w:val="24"/>
        </w:rPr>
        <w:t xml:space="preserve">means the certificate issued by the Virginia SCC upon acceptance of the Articles of Organization.</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in Va. Code § 13.1-1041.1(D): the EXCLUSIVE remedy by which a judgment creditor may satisfy a judgment against a Member's interest. A charging order gives a creditor only a lien on distributions; it does not confer management rights or permit seizure of LLC property.</w:t>
      </w:r>
    </w:p>
    <w:p>
      <w:pPr>
        <w:pStyle w:val="BJ"/>
      </w:pPr>
      <w:r>
        <w:rPr>
          <w:rFonts w:ascii="Times New Roman" w:cs="Times New Roman" w:eastAsia="Times New Roman" w:hAnsi="Times New Roman"/>
          <w:b/>
          <w:bCs/>
          <w:sz w:val="24"/>
          <w:szCs w:val="24"/>
        </w:rPr>
        <w:t xml:space="preserve">"Manager" </w:t>
      </w:r>
      <w:r>
        <w:rPr>
          <w:rFonts w:ascii="Times New Roman" w:cs="Times New Roman" w:eastAsia="Times New Roman" w:hAnsi="Times New Roman"/>
          <w:sz w:val="24"/>
          <w:szCs w:val="24"/>
        </w:rPr>
        <w:t xml:space="preserve">means a person delegated management authority under Va. Code § 13.1-1024.</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Transferable Interest and all management and voting rights.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authorized by Va. Code § 13.1-1023. NOTE: Va. Code § 13.1-1023(B)(1) provides that an OA "need not be in writing." This written Agreement is intended to constitute the complete and exclusive statement of the Members' agreement. See the integration clause in Section 11.05.</w:t>
      </w:r>
    </w:p>
    <w:p>
      <w:pPr>
        <w:pStyle w:val="BJ"/>
      </w:pPr>
      <w:r>
        <w:rPr>
          <w:rFonts w:ascii="Times New Roman" w:cs="Times New Roman" w:eastAsia="Times New Roman" w:hAnsi="Times New Roman"/>
          <w:b/>
          <w:bCs/>
          <w:sz w:val="24"/>
          <w:szCs w:val="24"/>
        </w:rPr>
        <w:t xml:space="preserve">"SCC" </w:t>
      </w:r>
      <w:r>
        <w:rPr>
          <w:rFonts w:ascii="Times New Roman" w:cs="Times New Roman" w:eastAsia="Times New Roman" w:hAnsi="Times New Roman"/>
          <w:sz w:val="24"/>
          <w:szCs w:val="24"/>
        </w:rPr>
        <w:t xml:space="preserve">means the Virginia State Corporation Commission, the filing authority for Virginia LLCs, operating through its Clerk's Information System (CIS).</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share in profits, losses, and distributions under Va. Code § 13.1-1038. An assignment transfers only these economic rights; it does NOT transfer management rights or membership without consent under § 13.1-1040.</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VIRGINIA DEFAULT NOTICE: Under Va. Code Article 6, § 13.1-1030, absent written provisions to the contrary, profits, losses, and distributions are allocated based on the RECORDED VALUE of each Member's contributions — NOT in equal shares. This Agreement overrides that default by specifying ownership percentages in Exhibit 1.</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 and maintained in the Company's required records.</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unanimously agreed in writing. Additional contributions shall be recorded in an amendment to Exhibit 1.</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VIRGINIA DEFAULT (Va. Code Article 6, § 13.1-1030): Under Virginia's default rules, profits and losses are allocated based on the RECORDED VALUE of each Member's contributions, NOT in equal shares.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OVERRIDE OF VIRGINIA DEFAULT: Under Va. Code § 13.1-1030, absent written provisions, distributions follow the recorded value of contributions. This Agreement overrides that default: distributions shall be made in proportion to ownership percentages in Exhibit 1, as determined pursuant to Article V.</w:t>
      </w:r>
    </w:p>
    <w:p>
      <w:pPr>
        <w:pStyle w:val="SH"/>
      </w:pPr>
      <w:r>
        <w:rPr>
          <w:rFonts w:ascii="Times New Roman" w:cs="Times New Roman" w:eastAsia="Times New Roman" w:hAnsi="Times New Roman"/>
          <w:b/>
          <w:bCs/>
          <w:sz w:val="24"/>
          <w:szCs w:val="24"/>
        </w:rPr>
        <w:t xml:space="preserve">4.03  Restrictions on Distributions.</w:t>
      </w:r>
    </w:p>
    <w:p>
      <w:pPr>
        <w:pStyle w:val="BJ"/>
      </w:pPr>
      <w:r>
        <w:rPr>
          <w:rFonts w:ascii="Times New Roman" w:cs="Times New Roman" w:eastAsia="Times New Roman" w:hAnsi="Times New Roman"/>
          <w:sz w:val="24"/>
          <w:szCs w:val="24"/>
        </w:rPr>
        <w:t xml:space="preserve">No distribution shall be made under Va. Code § 13.1-1035 if, after giving effect to it: (a) the Company could not pay its debts as they become due; or (b) total assets would be less than total liabilities plus preferential rights on dissolution. Any Member receiving a distribution in violation of § 13.1-1035 shall be liable for the amount for two (2) years under Va. Code § 13.1-1036.</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for each Member to pay federal and state income taxes on the Member's allocable share at the highest applicable marginal rates. Tax distributions count against each Member's distributive share.</w:t>
      </w:r>
    </w:p>
    <w:p>
      <w:pPr>
        <w:pStyle w:val="SH"/>
      </w:pPr>
      <w:r>
        <w:rPr>
          <w:rFonts w:ascii="Times New Roman" w:cs="Times New Roman" w:eastAsia="Times New Roman" w:hAnsi="Times New Roman"/>
          <w:b/>
          <w:bCs/>
          <w:sz w:val="24"/>
          <w:szCs w:val="24"/>
        </w:rPr>
        <w:t xml:space="preserve">4.05  Withholding.</w:t>
      </w:r>
    </w:p>
    <w:p>
      <w:pPr>
        <w:pStyle w:val="BJ"/>
      </w:pPr>
      <w:r>
        <w:rPr>
          <w:rFonts w:ascii="Times New Roman" w:cs="Times New Roman" w:eastAsia="Times New Roman" w:hAnsi="Times New Roman"/>
          <w:sz w:val="24"/>
          <w:szCs w:val="24"/>
        </w:rPr>
        <w:t xml:space="preserve">The Company may withhold from any distribution any amount required by federal or Virginia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 MANAGER-MANAGED</w:t>
      </w:r>
    </w:p>
    <w:p>
      <w:pPr>
        <w:pStyle w:val="SH"/>
      </w:pPr>
      <w:r>
        <w:rPr>
          <w:rFonts w:ascii="Times New Roman" w:cs="Times New Roman" w:eastAsia="Times New Roman" w:hAnsi="Times New Roman"/>
          <w:b/>
          <w:bCs/>
          <w:sz w:val="24"/>
          <w:szCs w:val="24"/>
        </w:rPr>
        <w:t xml:space="preserve">5.01  Manager-Managed Structure.</w:t>
      </w:r>
    </w:p>
    <w:p>
      <w:pPr>
        <w:pStyle w:val="BJ"/>
      </w:pPr>
      <w:r>
        <w:rPr>
          <w:rFonts w:ascii="Times New Roman" w:cs="Times New Roman" w:eastAsia="Times New Roman" w:hAnsi="Times New Roman"/>
          <w:sz w:val="24"/>
          <w:szCs w:val="24"/>
        </w:rPr>
        <w:t xml:space="preserve">Pursuant to Va. Code § 13.1-1024, the Articles of Organization and this Operating Agreement delegate management to the Manager(s). The Articles of Organization (Form LLC-1011) disclose the manager-managed structure; this Agreement must remain consistent with that public filing. Day-to-day authority rests with the Manager(s); Members retain reserved powers in Section 5.06.</w:t>
      </w:r>
    </w:p>
    <w:p>
      <w:pPr>
        <w:pStyle w:val="SH"/>
      </w:pPr>
      <w:r>
        <w:rPr>
          <w:rFonts w:ascii="Times New Roman" w:cs="Times New Roman" w:eastAsia="Times New Roman" w:hAnsi="Times New Roman"/>
          <w:b/>
          <w:bCs/>
          <w:sz w:val="24"/>
          <w:szCs w:val="24"/>
        </w:rPr>
        <w:t xml:space="preserve">5.02  Appointment of Initial Manager(s).</w:t>
      </w:r>
    </w:p>
    <w:p>
      <w:pPr>
        <w:pStyle w:val="BJ"/>
      </w:pPr>
      <w:r>
        <w:rPr>
          <w:rFonts w:ascii="Times New Roman" w:cs="Times New Roman" w:eastAsia="Times New Roman" w:hAnsi="Times New Roman"/>
          <w:sz w:val="24"/>
          <w:szCs w:val="24"/>
        </w:rPr>
        <w:t xml:space="preserve">The initial Manager(s) of the Company is/are:</w:t>
      </w:r>
    </w:p>
    <w:p>
      <w:pPr>
        <w:pStyle w:val="BJ"/>
      </w:pPr>
      <w:r>
        <w:rPr>
          <w:rFonts w:ascii="Times New Roman" w:cs="Times New Roman" w:eastAsia="Times New Roman" w:hAnsi="Times New Roman"/>
          <w:sz w:val="24"/>
          <w:szCs w:val="24"/>
        </w:rPr>
        <w:t xml:space="preserve">Manager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Manager Address: </w:t>
      </w:r>
      <w:r>
        <w:rPr>
          <w:rFonts w:ascii="Times New Roman" w:cs="Times New Roman" w:eastAsia="Times New Roman" w:hAnsi="Times New Roman"/>
          <w:color w:val="2244AA"/>
          <w:sz w:val="24"/>
          <w:szCs w:val="24"/>
          <w:u w:val="single"/>
        </w:rPr>
        <w:t xml:space="preserve">[Street address, City, VA XXXXX]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second Manager (attach separate Manager signature block)</w:t>
      </w:r>
    </w:p>
    <w:p>
      <w:pPr>
        <w:pStyle w:val="SH"/>
      </w:pPr>
      <w:r>
        <w:rPr>
          <w:rFonts w:ascii="Times New Roman" w:cs="Times New Roman" w:eastAsia="Times New Roman" w:hAnsi="Times New Roman"/>
          <w:b/>
          <w:bCs/>
          <w:sz w:val="24"/>
          <w:szCs w:val="24"/>
        </w:rPr>
        <w:t xml:space="preserve">5.03  Manager Authority — Ordinary Course.</w:t>
      </w:r>
    </w:p>
    <w:p>
      <w:pPr>
        <w:pStyle w:val="BJ"/>
      </w:pPr>
      <w:r>
        <w:rPr>
          <w:rFonts w:ascii="Times New Roman" w:cs="Times New Roman" w:eastAsia="Times New Roman" w:hAnsi="Times New Roman"/>
          <w:sz w:val="24"/>
          <w:szCs w:val="24"/>
        </w:rPr>
        <w:t xml:space="preserve">The Manager(s) have full authority to manage the Company in the ordinary course, including: (a) executing contracts; (b) opening and managing bank accounts; (c) hiring and dismissing employees; (d) incurring ordinary-course debts; (e) making ordinary-course distributions; and (f) delegating powers under Va. Code § 13.1-1024(H).</w:t>
      </w:r>
    </w:p>
    <w:p>
      <w:pPr>
        <w:pStyle w:val="SH"/>
      </w:pPr>
      <w:r>
        <w:rPr>
          <w:rFonts w:ascii="Times New Roman" w:cs="Times New Roman" w:eastAsia="Times New Roman" w:hAnsi="Times New Roman"/>
          <w:b/>
          <w:bCs/>
          <w:sz w:val="24"/>
          <w:szCs w:val="24"/>
        </w:rPr>
        <w:t xml:space="preserve">5.04  Actions Requiring Member Approval.</w:t>
      </w:r>
    </w:p>
    <w:p>
      <w:pPr>
        <w:pStyle w:val="BJ"/>
      </w:pPr>
      <w:r>
        <w:rPr>
          <w:rFonts w:ascii="Times New Roman" w:cs="Times New Roman" w:eastAsia="Times New Roman" w:hAnsi="Times New Roman"/>
          <w:sz w:val="24"/>
          <w:szCs w:val="24"/>
        </w:rPr>
        <w:t xml:space="preserve">The following require approval of Members holding at least sixty-six and two-thirds percent (66.67%) of total ownership interests:</w:t>
      </w:r>
    </w:p>
    <w:p>
      <w:pPr>
        <w:pStyle w:val="BI"/>
      </w:pPr>
      <w:r>
        <w:rPr>
          <w:rFonts w:ascii="Times New Roman" w:cs="Times New Roman" w:eastAsia="Times New Roman" w:hAnsi="Times New Roman"/>
          <w:sz w:val="24"/>
          <w:szCs w:val="24"/>
        </w:rPr>
        <w:t xml:space="preserve">(a) Amending this Operating Agreement or the Articles of Organization;</w:t>
      </w:r>
    </w:p>
    <w:p>
      <w:pPr>
        <w:pStyle w:val="BI"/>
      </w:pPr>
      <w:r>
        <w:rPr>
          <w:rFonts w:ascii="Times New Roman" w:cs="Times New Roman" w:eastAsia="Times New Roman" w:hAnsi="Times New Roman"/>
          <w:sz w:val="24"/>
          <w:szCs w:val="24"/>
        </w:rPr>
        <w:t xml:space="preserve">(b) Admitting a new Member;</w:t>
      </w:r>
    </w:p>
    <w:p>
      <w:pPr>
        <w:pStyle w:val="BI"/>
      </w:pPr>
      <w:r>
        <w:rPr>
          <w:rFonts w:ascii="Times New Roman" w:cs="Times New Roman" w:eastAsia="Times New Roman" w:hAnsi="Times New Roman"/>
          <w:sz w:val="24"/>
          <w:szCs w:val="24"/>
        </w:rPr>
        <w:t xml:space="preserve">(c) Selling, leasing, or transferring substantially all Company assets outside ordinary course;</w:t>
      </w:r>
    </w:p>
    <w:p>
      <w:pPr>
        <w:pStyle w:val="BI"/>
      </w:pPr>
      <w:r>
        <w:rPr>
          <w:rFonts w:ascii="Times New Roman" w:cs="Times New Roman" w:eastAsia="Times New Roman" w:hAnsi="Times New Roman"/>
          <w:sz w:val="24"/>
          <w:szCs w:val="24"/>
        </w:rPr>
        <w:t xml:space="preserve">(d) Dissolving, merging, or converting the Company;</w:t>
      </w:r>
    </w:p>
    <w:p>
      <w:pPr>
        <w:pStyle w:val="BI"/>
      </w:pPr>
      <w:r>
        <w:rPr>
          <w:rFonts w:ascii="Times New Roman" w:cs="Times New Roman" w:eastAsia="Times New Roman" w:hAnsi="Times New Roman"/>
          <w:sz w:val="24"/>
          <w:szCs w:val="24"/>
        </w:rPr>
        <w:t xml:space="preserve">(e) Any transaction between the Company and a Manager, Member, or affiliate;</w:t>
      </w:r>
    </w:p>
    <w:p>
      <w:pPr>
        <w:pStyle w:val="BI"/>
      </w:pPr>
      <w:r>
        <w:rPr>
          <w:rFonts w:ascii="Times New Roman" w:cs="Times New Roman" w:eastAsia="Times New Roman" w:hAnsi="Times New Roman"/>
          <w:sz w:val="24"/>
          <w:szCs w:val="24"/>
        </w:rPr>
        <w:t xml:space="preserve">(f) Incurring any single debt exceeding the threshold in Section 5.09;</w:t>
      </w:r>
    </w:p>
    <w:p>
      <w:pPr>
        <w:pStyle w:val="BI"/>
      </w:pPr>
      <w:r>
        <w:rPr>
          <w:rFonts w:ascii="Times New Roman" w:cs="Times New Roman" w:eastAsia="Times New Roman" w:hAnsi="Times New Roman"/>
          <w:sz w:val="24"/>
          <w:szCs w:val="24"/>
        </w:rPr>
        <w:t xml:space="preserve">(g) Any act making it impossible to carry on ordinary business.</w:t>
      </w:r>
    </w:p>
    <w:p>
      <w:pPr>
        <w:pStyle w:val="SH"/>
      </w:pPr>
      <w:r>
        <w:rPr>
          <w:rFonts w:ascii="Times New Roman" w:cs="Times New Roman" w:eastAsia="Times New Roman" w:hAnsi="Times New Roman"/>
          <w:b/>
          <w:bCs/>
          <w:sz w:val="24"/>
          <w:szCs w:val="24"/>
        </w:rPr>
        <w:t xml:space="preserve">5.05  Manager Elections and Removal.</w:t>
      </w:r>
    </w:p>
    <w:p>
      <w:pPr>
        <w:pStyle w:val="BJ"/>
      </w:pPr>
      <w:r>
        <w:rPr>
          <w:rFonts w:ascii="Times New Roman" w:cs="Times New Roman" w:eastAsia="Times New Roman" w:hAnsi="Times New Roman"/>
          <w:sz w:val="24"/>
          <w:szCs w:val="24"/>
        </w:rPr>
        <w:t xml:space="preserve">Managers are elected by Members, and vacancies are filled by a majority vote of Members under Va. Code § 13.1-1024. Any Manager may be removed with or without cause by Members holding more than fifty percent (50%) of total ownership interests. The Manager subject to removal shall not vote.</w:t>
      </w:r>
    </w:p>
    <w:p>
      <w:pPr>
        <w:pStyle w:val="SH"/>
      </w:pPr>
      <w:r>
        <w:rPr>
          <w:rFonts w:ascii="Times New Roman" w:cs="Times New Roman" w:eastAsia="Times New Roman" w:hAnsi="Times New Roman"/>
          <w:b/>
          <w:bCs/>
          <w:sz w:val="24"/>
          <w:szCs w:val="24"/>
        </w:rPr>
        <w:t xml:space="preserve">5.06  Reserved Member Powers.</w:t>
      </w:r>
    </w:p>
    <w:p>
      <w:pPr>
        <w:pStyle w:val="BJ"/>
      </w:pPr>
      <w:r>
        <w:rPr>
          <w:rFonts w:ascii="Times New Roman" w:cs="Times New Roman" w:eastAsia="Times New Roman" w:hAnsi="Times New Roman"/>
          <w:sz w:val="24"/>
          <w:szCs w:val="24"/>
        </w:rPr>
        <w:t xml:space="preserve">Members retain: (a) the right to vote on matters in Section 5.04; (b) the right to remove a Manager per Section 5.05; (c) the right to inspect books and records; and (d) the right to bring a derivative action.</w:t>
      </w:r>
    </w:p>
    <w:p>
      <w:pPr>
        <w:pStyle w:val="SH"/>
      </w:pPr>
      <w:r>
        <w:rPr>
          <w:rFonts w:ascii="Times New Roman" w:cs="Times New Roman" w:eastAsia="Times New Roman" w:hAnsi="Times New Roman"/>
          <w:b/>
          <w:bCs/>
          <w:sz w:val="24"/>
          <w:szCs w:val="24"/>
        </w:rPr>
        <w:t xml:space="preserve">5.07  Manager Compensation.</w:t>
      </w:r>
    </w:p>
    <w:p>
      <w:pPr>
        <w:pStyle w:val="BJ"/>
      </w:pPr>
      <w:r>
        <w:rPr>
          <w:rFonts w:ascii="Times New Roman" w:cs="Times New Roman" w:eastAsia="Times New Roman" w:hAnsi="Times New Roman"/>
          <w:sz w:val="24"/>
          <w:szCs w:val="24"/>
        </w:rPr>
        <w:t xml:space="preserve">The Manager(s) shall be entitled to compensation as follows:</w:t>
      </w:r>
    </w:p>
    <w:p>
      <w:pPr>
        <w:pStyle w:val="BJ"/>
      </w:pPr>
      <w:r>
        <w:rPr>
          <w:rFonts w:ascii="Times New Roman" w:cs="Times New Roman" w:eastAsia="Times New Roman" w:hAnsi="Times New Roman"/>
          <w:color w:val="2244AA"/>
          <w:sz w:val="24"/>
          <w:szCs w:val="24"/>
          <w:u w:val="single"/>
        </w:rPr>
        <w:t xml:space="preserve">[Describe compensation terms, or write 'None unless separately agreed']</w:t>
      </w:r>
    </w:p>
    <w:p>
      <w:pPr>
        <w:pStyle w:val="SH"/>
      </w:pPr>
      <w:r>
        <w:rPr>
          <w:rFonts w:ascii="Times New Roman" w:cs="Times New Roman" w:eastAsia="Times New Roman" w:hAnsi="Times New Roman"/>
          <w:b/>
          <w:bCs/>
          <w:sz w:val="24"/>
          <w:szCs w:val="24"/>
        </w:rPr>
        <w:t xml:space="preserve">5.08  Limitation of Liability — Managers.</w:t>
      </w:r>
    </w:p>
    <w:p>
      <w:pPr>
        <w:pStyle w:val="BJ"/>
      </w:pPr>
      <w:r>
        <w:rPr>
          <w:rFonts w:ascii="Times New Roman" w:cs="Times New Roman" w:eastAsia="Times New Roman" w:hAnsi="Times New Roman"/>
          <w:sz w:val="24"/>
          <w:szCs w:val="24"/>
        </w:rPr>
        <w:t xml:space="preserve">Pursuant to Va. Code § 13.1-1025, Manager liability for damages may be limited or eliminated up to the greater of $100,000 or the cash compensation paid during the 12 months before the act at issue. STATUTORY CARVE-OUT (NON-WAIVABLE): This limitation DOES NOT apply to willful misconduct or a knowing violation of criminal law under § 13.1-1025(B) and cannot be overridden by agreement.</w:t>
      </w:r>
    </w:p>
    <w:p>
      <w:pPr>
        <w:pStyle w:val="SH"/>
      </w:pPr>
      <w:r>
        <w:rPr>
          <w:rFonts w:ascii="Times New Roman" w:cs="Times New Roman" w:eastAsia="Times New Roman" w:hAnsi="Times New Roman"/>
          <w:b/>
          <w:bCs/>
          <w:sz w:val="24"/>
          <w:szCs w:val="24"/>
        </w:rPr>
        <w:t xml:space="preserve">5.09  Debt Threshold Requiring Member Approval.</w:t>
      </w:r>
    </w:p>
    <w:p>
      <w:pPr>
        <w:pStyle w:val="BJ"/>
      </w:pPr>
      <w:r>
        <w:rPr>
          <w:rFonts w:ascii="Times New Roman" w:cs="Times New Roman" w:eastAsia="Times New Roman" w:hAnsi="Times New Roman"/>
          <w:sz w:val="24"/>
          <w:szCs w:val="24"/>
        </w:rPr>
        <w:t xml:space="preserve">Any single debt or liability exceeding $ </w:t>
      </w:r>
      <w:r>
        <w:rPr>
          <w:rFonts w:ascii="Times New Roman" w:cs="Times New Roman" w:eastAsia="Times New Roman" w:hAnsi="Times New Roman"/>
          <w:color w:val="2244AA"/>
          <w:sz w:val="24"/>
          <w:szCs w:val="24"/>
          <w:u w:val="single"/>
        </w:rPr>
        <w:t xml:space="preserve">[dollar amount]</w:t>
      </w:r>
    </w:p>
    <w:p>
      <w:pPr>
        <w:pStyle w:val="BJ"/>
      </w:pPr>
      <w:r>
        <w:rPr>
          <w:rFonts w:ascii="Times New Roman" w:cs="Times New Roman" w:eastAsia="Times New Roman" w:hAnsi="Times New Roman"/>
          <w:sz w:val="24"/>
          <w:szCs w:val="24"/>
        </w:rPr>
        <w:t xml:space="preserve">requires Member approval under Section 5.04.</w:t>
      </w:r>
    </w:p>
    <w:p>
      <w:pPr>
        <w:pStyle w:val="SH"/>
      </w:pPr>
      <w:r>
        <w:rPr>
          <w:rFonts w:ascii="Times New Roman" w:cs="Times New Roman" w:eastAsia="Times New Roman" w:hAnsi="Times New Roman"/>
          <w:b/>
          <w:bCs/>
          <w:sz w:val="24"/>
          <w:szCs w:val="24"/>
        </w:rPr>
        <w:t xml:space="preserve">5.10  Annual Registration Fee Compliance.</w:t>
      </w:r>
    </w:p>
    <w:p>
      <w:pPr>
        <w:pStyle w:val="BJ"/>
      </w:pPr>
      <w:r>
        <w:rPr>
          <w:rFonts w:ascii="Times New Roman" w:cs="Times New Roman" w:eastAsia="Times New Roman" w:hAnsi="Times New Roman"/>
          <w:sz w:val="24"/>
          <w:szCs w:val="24"/>
        </w:rPr>
        <w:t xml:space="preserve">Virginia LLCs pay a $50 Annual Registration Fee under Va. Code § 13.1-1062 (NOT an annual report), due by the last day of the anniversary month each year through the SCC Clerk's Information System (CIS). A $25 late penalty applies under § 13.1-1064.</w:t>
      </w:r>
    </w:p>
    <w:p>
      <w:pPr>
        <w:pStyle w:val="SH"/>
      </w:pPr>
      <w:r>
        <w:rPr>
          <w:rFonts w:ascii="Times New Roman" w:cs="Times New Roman" w:eastAsia="Times New Roman" w:hAnsi="Times New Roman"/>
          <w:b/>
          <w:bCs/>
          <w:sz w:val="24"/>
          <w:szCs w:val="24"/>
        </w:rPr>
        <w:t xml:space="preserve">5.11  Fiscal Year.</w:t>
      </w:r>
    </w:p>
    <w:p>
      <w:pPr>
        <w:pStyle w:val="BJ"/>
      </w:pPr>
      <w:r>
        <w:rPr>
          <w:rFonts w:ascii="Times New Roman" w:cs="Times New Roman" w:eastAsia="Times New Roman" w:hAnsi="Times New Roman"/>
          <w:sz w:val="24"/>
          <w:szCs w:val="24"/>
        </w:rPr>
        <w:t xml:space="preserve">The fiscal year shall be the calendar year unless otherwise determined by the Manager(s) with Member approval.</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Each Manager owes a duty of loyalty to the Company, including: (a) accounting for and holding as trustee any property or benefit derived from Company business without consent; (b) refraining from dealing with the Company as an adverse party; and (c) refraining from competing with the Company before dissolution without unanimous written consent.</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Manager shall act in good faith, in a manner reasonably believed to be in the best interests of the Company, with the care a person in a like position would reasonably exercise.</w:t>
      </w:r>
    </w:p>
    <w:p>
      <w:pPr>
        <w:pStyle w:val="SH"/>
      </w:pPr>
      <w:r>
        <w:rPr>
          <w:rFonts w:ascii="Times New Roman" w:cs="Times New Roman" w:eastAsia="Times New Roman" w:hAnsi="Times New Roman"/>
          <w:b/>
          <w:bCs/>
          <w:sz w:val="24"/>
          <w:szCs w:val="24"/>
        </w:rPr>
        <w:t xml:space="preserve">6.03  Good Faith and Fair Dealing.</w:t>
      </w:r>
    </w:p>
    <w:p>
      <w:pPr>
        <w:pStyle w:val="BJ"/>
      </w:pPr>
      <w:r>
        <w:rPr>
          <w:rFonts w:ascii="Times New Roman" w:cs="Times New Roman" w:eastAsia="Times New Roman" w:hAnsi="Times New Roman"/>
          <w:sz w:val="24"/>
          <w:szCs w:val="24"/>
        </w:rPr>
        <w:t xml:space="preserve">Each Member and Managers shall discharge all duties consistent with the obligation of good faith and fair dealing.</w:t>
      </w:r>
    </w:p>
    <w:p>
      <w:pPr>
        <w:pStyle w:val="SH"/>
      </w:pPr>
      <w:r>
        <w:rPr>
          <w:rFonts w:ascii="Times New Roman" w:cs="Times New Roman" w:eastAsia="Times New Roman" w:hAnsi="Times New Roman"/>
          <w:b/>
          <w:bCs/>
          <w:sz w:val="24"/>
          <w:szCs w:val="24"/>
        </w:rPr>
        <w:t xml:space="preserve">6.04  Limitation of Liability.</w:t>
      </w:r>
    </w:p>
    <w:p>
      <w:pPr>
        <w:pStyle w:val="BJ"/>
      </w:pPr>
      <w:r>
        <w:rPr>
          <w:rFonts w:ascii="Times New Roman" w:cs="Times New Roman" w:eastAsia="Times New Roman" w:hAnsi="Times New Roman"/>
          <w:sz w:val="24"/>
          <w:szCs w:val="24"/>
        </w:rPr>
        <w:t xml:space="preserve">Pursuant to Va. Code § 13.1-1025, this Agreement limits the personal liability of Members and Managers for money damages to the greater of $100,000 or the cash compensation paid during the 12 months preceding the act at issue. STATUTORY CARVE-OUT (NON-WAIVABLE): Va. Code § 13.1-1025(B) provides that no limitation applies to willful misconduct or a knowing violation of criminal law. This carve-out CANNOT be modified or eliminated by this Agreement.</w:t>
      </w:r>
    </w:p>
    <w:p>
      <w:pPr>
        <w:pStyle w:val="SH"/>
      </w:pPr>
      <w:r>
        <w:rPr>
          <w:rFonts w:ascii="Times New Roman" w:cs="Times New Roman" w:eastAsia="Times New Roman" w:hAnsi="Times New Roman"/>
          <w:b/>
          <w:bCs/>
          <w:sz w:val="24"/>
          <w:szCs w:val="24"/>
        </w:rPr>
        <w:t xml:space="preserve">6.05  Indemnification.</w:t>
      </w:r>
    </w:p>
    <w:p>
      <w:pPr>
        <w:pStyle w:val="BJ"/>
      </w:pPr>
      <w:r>
        <w:rPr>
          <w:rFonts w:ascii="Times New Roman" w:cs="Times New Roman" w:eastAsia="Times New Roman" w:hAnsi="Times New Roman"/>
          <w:sz w:val="24"/>
          <w:szCs w:val="24"/>
        </w:rPr>
        <w:t xml:space="preserve">The Company shall indemnify and hold harmless each Member and Manager from claims, liabilities, and expenses (including attorneys' fees) arising from good-faith acts within the scope of authority conferred by this Agreement, to the extent permitted by Va. Code § 13.1-1025. No indemnification for willful misconduct or a knowing violation of criminal law.</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Nature of Membership Interest.</w:t>
      </w:r>
    </w:p>
    <w:p>
      <w:pPr>
        <w:pStyle w:val="BJ"/>
      </w:pPr>
      <w:r>
        <w:rPr>
          <w:rFonts w:ascii="Times New Roman" w:cs="Times New Roman" w:eastAsia="Times New Roman" w:hAnsi="Times New Roman"/>
          <w:sz w:val="24"/>
          <w:szCs w:val="24"/>
        </w:rPr>
        <w:t xml:space="preserve">A membership interest is personal property under Va. Code § 13.1-1038. The only transferable aspect without consent is the Transferable Interest (economic rights: profits, losses, distributions). Management rights, voting rights, and participation in Company business do not transfer automatically.</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No Member may transfer all or any portion of the Membership Interest or Transferable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7.03  Assignments — Economic Rights Only.</w:t>
      </w:r>
    </w:p>
    <w:p>
      <w:pPr>
        <w:pStyle w:val="BJ"/>
      </w:pPr>
      <w:r>
        <w:rPr>
          <w:rFonts w:ascii="Times New Roman" w:cs="Times New Roman" w:eastAsia="Times New Roman" w:hAnsi="Times New Roman"/>
          <w:sz w:val="24"/>
          <w:szCs w:val="24"/>
        </w:rPr>
        <w:t xml:space="preserve">An assignment under Va. Code § 13.1-1039 transfers only the Transferable Interest (right to receive distributions, share profits and losses). An assignee does NOT become a Member and does NOT acquire management or voting rights unless admitted under Section 7.04.</w:t>
      </w:r>
    </w:p>
    <w:p>
      <w:pPr>
        <w:pStyle w:val="SH"/>
      </w:pPr>
      <w:r>
        <w:rPr>
          <w:rFonts w:ascii="Times New Roman" w:cs="Times New Roman" w:eastAsia="Times New Roman" w:hAnsi="Times New Roman"/>
          <w:b/>
          <w:bCs/>
          <w:sz w:val="24"/>
          <w:szCs w:val="24"/>
        </w:rPr>
        <w:t xml:space="preserve">7.04  Admission of Assignee as Member.</w:t>
      </w:r>
    </w:p>
    <w:p>
      <w:pPr>
        <w:pStyle w:val="BJ"/>
      </w:pPr>
      <w:r>
        <w:rPr>
          <w:rFonts w:ascii="Times New Roman" w:cs="Times New Roman" w:eastAsia="Times New Roman" w:hAnsi="Times New Roman"/>
          <w:sz w:val="24"/>
          <w:szCs w:val="24"/>
        </w:rPr>
        <w:t xml:space="preserve">An assignee may become a Member only upon: (a) approval by Members holding at least sixty-six and two-thirds percent (66.67%) of total ownership interests (overriding the default consent rules of Va. Code § 13.1-1040); (b) execution of a joinder agreement; and (c) payment of any reasonable admission fee. Until admitted, an assignee has only Transferable Interest rights — no management rights, voting rights, or information rights.</w:t>
      </w:r>
    </w:p>
    <w:p>
      <w:pPr>
        <w:pStyle w:val="SH"/>
      </w:pPr>
      <w:r>
        <w:rPr>
          <w:rFonts w:ascii="Times New Roman" w:cs="Times New Roman" w:eastAsia="Times New Roman" w:hAnsi="Times New Roman"/>
          <w:b/>
          <w:bCs/>
          <w:sz w:val="24"/>
          <w:szCs w:val="24"/>
        </w:rPr>
        <w:t xml:space="preserve">7.05  Right of First Refusal.</w:t>
      </w:r>
    </w:p>
    <w:p>
      <w:pPr>
        <w:pStyle w:val="BJ"/>
      </w:pPr>
      <w:r>
        <w:rPr>
          <w:rFonts w:ascii="Times New Roman" w:cs="Times New Roman" w:eastAsia="Times New Roman" w:hAnsi="Times New Roman"/>
          <w:sz w:val="24"/>
          <w:szCs w:val="24"/>
        </w:rPr>
        <w:t xml:space="preserve">Before transferring any Membership Interest to a third party, the transferring Member must first offer the interest to the remaining Members pro rata at the same price and terms. The remaining Members have thirty (30) days to exercise this right by written notice. If not exercised, the transferring Member may proceed, subject to Section 7.02.</w:t>
      </w:r>
    </w:p>
    <w:p>
      <w:pPr>
        <w:pStyle w:val="SH"/>
      </w:pPr>
      <w:r>
        <w:rPr>
          <w:rFonts w:ascii="Times New Roman" w:cs="Times New Roman" w:eastAsia="Times New Roman" w:hAnsi="Times New Roman"/>
          <w:b/>
          <w:bCs/>
          <w:sz w:val="24"/>
          <w:szCs w:val="24"/>
        </w:rPr>
        <w:t xml:space="preserve">7.06  Charging Order — Exclusive Creditor Remedy.</w:t>
      </w:r>
    </w:p>
    <w:p>
      <w:pPr>
        <w:pStyle w:val="BJ"/>
      </w:pPr>
      <w:r>
        <w:rPr>
          <w:rFonts w:ascii="Times New Roman" w:cs="Times New Roman" w:eastAsia="Times New Roman" w:hAnsi="Times New Roman"/>
          <w:sz w:val="24"/>
          <w:szCs w:val="24"/>
        </w:rPr>
        <w:t xml:space="preserve">Pursuant to Va. Code § 13.1-1041.1(D), a charging order against a Member's Transferable Interest is the EXCLUSIVE remedy by which a judgment creditor may satisfy a judgment. A creditor with a charging order receives only a lien on distributions when the LLC chooses to make them. The charging order does NOT: (a) give management rights; (b) permit seizure of LLC property; or (c) make the creditor a Member. Foreclosure converts the creditor to an assignee with only Transferable Interest rights. Note: Virginia law overrides UCC §§ 9-406 and 9-408 to keep OA transfer restrictions enforceable against all persons.</w:t>
      </w:r>
    </w:p>
    <w:p>
      <w:pPr>
        <w:pStyle w:val="SH"/>
      </w:pPr>
      <w:r>
        <w:rPr>
          <w:rFonts w:ascii="Times New Roman" w:cs="Times New Roman" w:eastAsia="Times New Roman" w:hAnsi="Times New Roman"/>
          <w:b/>
          <w:bCs/>
          <w:sz w:val="24"/>
          <w:szCs w:val="24"/>
        </w:rPr>
        <w:t xml:space="preserve">7.07  Death or Incapacity — Economic Rights Only.</w:t>
      </w:r>
    </w:p>
    <w:p>
      <w:pPr>
        <w:pStyle w:val="BJ"/>
      </w:pPr>
      <w:r>
        <w:rPr>
          <w:rFonts w:ascii="Times New Roman" w:cs="Times New Roman" w:eastAsia="Times New Roman" w:hAnsi="Times New Roman"/>
          <w:sz w:val="24"/>
          <w:szCs w:val="24"/>
        </w:rPr>
        <w:t xml:space="preserve">Upon death or legal incapacity of a Member under Va. Code § 13.1-1040.1, the Transferable Interest passes to the estate or named beneficiary as an assignee under § 13.1-1039. The estate or beneficiary acquires only economic rights; management and voting rights remain with the existing Members unless the successor is admitted under Section 7.04. The remaining Members shall within ninety (90) days either admit the successor or purchase the Transferable Interest under Article VIII.</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under Va. Code § 13.1-1040.1 upon: (a) delivery of written notice of resignation; (b) expulsion under Section 8.05; (c) the Member's bankruptcy or insolvency; (d) the Member's death; (e) appointment of a guardian or general conservator; or (f) a judicial order of dissociation.</w:t>
      </w:r>
    </w:p>
    <w:p>
      <w:pPr>
        <w:pStyle w:val="SH"/>
      </w:pPr>
      <w:r>
        <w:rPr>
          <w:rFonts w:ascii="Times New Roman" w:cs="Times New Roman" w:eastAsia="Times New Roman" w:hAnsi="Times New Roman"/>
          <w:b/>
          <w:bCs/>
          <w:sz w:val="24"/>
          <w:szCs w:val="24"/>
        </w:rPr>
        <w:t xml:space="preserve">8.02  Buyout of Dissociating Member.</w:t>
      </w:r>
    </w:p>
    <w:p>
      <w:pPr>
        <w:pStyle w:val="BJ"/>
      </w:pPr>
      <w:r>
        <w:rPr>
          <w:rFonts w:ascii="Times New Roman" w:cs="Times New Roman" w:eastAsia="Times New Roman" w:hAnsi="Times New Roman"/>
          <w:sz w:val="24"/>
          <w:szCs w:val="24"/>
        </w:rPr>
        <w:t xml:space="preserve">Upon a Member's dissociation, the Company or the remaining Members (at their election) shall have the right and obligation to purchase the dissociating Member's Transferable Interest at the price and on the terms in Sections 8.03 and 8.04.</w:t>
      </w:r>
    </w:p>
    <w:p>
      <w:pPr>
        <w:pStyle w:val="SH"/>
      </w:pPr>
      <w:r>
        <w:rPr>
          <w:rFonts w:ascii="Times New Roman" w:cs="Times New Roman" w:eastAsia="Times New Roman" w:hAnsi="Times New Roman"/>
          <w:b/>
          <w:bCs/>
          <w:sz w:val="24"/>
          <w:szCs w:val="24"/>
        </w:rPr>
        <w:t xml:space="preserve">8.03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 of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8.04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evidenced by a promissory note.</w:t>
      </w:r>
    </w:p>
    <w:p>
      <w:pPr>
        <w:pStyle w:val="SH"/>
      </w:pPr>
      <w:r>
        <w:rPr>
          <w:rFonts w:ascii="Times New Roman" w:cs="Times New Roman" w:eastAsia="Times New Roman" w:hAnsi="Times New Roman"/>
          <w:b/>
          <w:bCs/>
          <w:sz w:val="24"/>
          <w:szCs w:val="24"/>
        </w:rPr>
        <w:t xml:space="preserve">8.05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not cured within thirty (30) days of written notice; (b) an event making it unlawful to continue with the Member; or (c) judicial expulsion. An expelled Member's interest shall be purchased under Sections 8.02–8.04.</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events under Va. Code § 13.1-1046:</w:t>
      </w:r>
    </w:p>
    <w:p>
      <w:pPr>
        <w:pStyle w:val="BI"/>
      </w:pPr>
      <w:r>
        <w:rPr>
          <w:rFonts w:ascii="Times New Roman" w:cs="Times New Roman" w:eastAsia="Times New Roman" w:hAnsi="Times New Roman"/>
          <w:sz w:val="24"/>
          <w:szCs w:val="24"/>
        </w:rPr>
        <w:t xml:space="preserve">(a) Any dissolution event specified in the Articles of Organization or this Agreement;</w:t>
      </w:r>
    </w:p>
    <w:p>
      <w:pPr>
        <w:pStyle w:val="BI"/>
      </w:pPr>
      <w:r>
        <w:rPr>
          <w:rFonts w:ascii="Times New Roman" w:cs="Times New Roman" w:eastAsia="Times New Roman" w:hAnsi="Times New Roman"/>
          <w:sz w:val="24"/>
          <w:szCs w:val="24"/>
        </w:rPr>
        <w:t xml:space="preserve">(b) The written consent of all Members (or Members holding at least 66.67% of total ownership interests per this Agreement) to dissolve;</w:t>
      </w:r>
    </w:p>
    <w:p>
      <w:pPr>
        <w:pStyle w:val="BI"/>
      </w:pPr>
      <w:r>
        <w:rPr>
          <w:rFonts w:ascii="Times New Roman" w:cs="Times New Roman" w:eastAsia="Times New Roman" w:hAnsi="Times New Roman"/>
          <w:sz w:val="24"/>
          <w:szCs w:val="24"/>
        </w:rPr>
        <w:t xml:space="preserve">(c) Judicial dissolution by a Virginia court;</w:t>
      </w:r>
    </w:p>
    <w:p>
      <w:pPr>
        <w:pStyle w:val="BI"/>
      </w:pPr>
      <w:r>
        <w:rPr>
          <w:rFonts w:ascii="Times New Roman" w:cs="Times New Roman" w:eastAsia="Times New Roman" w:hAnsi="Times New Roman"/>
          <w:sz w:val="24"/>
          <w:szCs w:val="24"/>
        </w:rPr>
        <w:t xml:space="preserve">(d) Administrative cancellation by the Virginia SCC for failure to pay the Annual Registration Fee or maintain a registered agent.</w:t>
      </w:r>
    </w:p>
    <w:p>
      <w:pPr>
        <w:pStyle w:val="SH"/>
      </w:pPr>
      <w:r>
        <w:rPr>
          <w:rFonts w:ascii="Times New Roman" w:cs="Times New Roman" w:eastAsia="Times New Roman" w:hAnsi="Times New Roman"/>
          <w:b/>
          <w:bCs/>
          <w:sz w:val="24"/>
          <w:szCs w:val="24"/>
        </w:rPr>
        <w:t xml:space="preserve">9.02  Waiver of Dissolution — Virginia Statutory Right.</w:t>
      </w:r>
    </w:p>
    <w:p>
      <w:pPr>
        <w:pStyle w:val="BJ"/>
      </w:pPr>
      <w:r>
        <w:rPr>
          <w:rFonts w:ascii="Times New Roman" w:cs="Times New Roman" w:eastAsia="Times New Roman" w:hAnsi="Times New Roman"/>
          <w:sz w:val="24"/>
          <w:szCs w:val="24"/>
        </w:rPr>
        <w:t xml:space="preserve">Pursuant to Va. Code § 13.1-1047.1, the Members may WAIVE a dissolution event and resume the Company's business if all Members agree in writing before winding up is completed. The parties agree that if dissolution is triggered, the Members shall consider exercising this statutory right before proceeding with winding up.</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the Manager(s), or upon application by a Member, by a person appointed by a Virginia court. During winding up the Company shall: (a) collect all amounts owed; (b) pay and discharge all debts and obligations; (c) distribute remaining assets to Members in accordance with Capital Account balances and then ownership percentages.</w:t>
      </w:r>
    </w:p>
    <w:p>
      <w:pPr>
        <w:pStyle w:val="SH"/>
      </w:pPr>
      <w:r>
        <w:rPr>
          <w:rFonts w:ascii="Times New Roman" w:cs="Times New Roman" w:eastAsia="Times New Roman" w:hAnsi="Times New Roman"/>
          <w:b/>
          <w:bCs/>
          <w:sz w:val="24"/>
          <w:szCs w:val="24"/>
        </w:rPr>
        <w:t xml:space="preserve">9.04  Articles of Cancellation.</w:t>
      </w:r>
    </w:p>
    <w:p>
      <w:pPr>
        <w:pStyle w:val="BJ"/>
      </w:pPr>
      <w:r>
        <w:rPr>
          <w:rFonts w:ascii="Times New Roman" w:cs="Times New Roman" w:eastAsia="Times New Roman" w:hAnsi="Times New Roman"/>
          <w:sz w:val="24"/>
          <w:szCs w:val="24"/>
        </w:rPr>
        <w:t xml:space="preserve">Upon completion of winding up, the Company shall file Articles of Cancellation with the Virginia SCC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 federally; Virginia Form 502 Pass-Through Entity Return required, due by the 15th day of the 4th month after close of taxable year)</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Virginia corporation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Virginia Pass-Through Entity Tax (PTET).</w:t>
      </w:r>
    </w:p>
    <w:p>
      <w:pPr>
        <w:pStyle w:val="BJ"/>
      </w:pPr>
      <w:r>
        <w:rPr>
          <w:rFonts w:ascii="Times New Roman" w:cs="Times New Roman" w:eastAsia="Times New Roman" w:hAnsi="Times New Roman"/>
          <w:sz w:val="24"/>
          <w:szCs w:val="24"/>
        </w:rPr>
        <w:t xml:space="preserve">Virginia's elective PTET applies for taxable years beginning on or after January 1, 2022 and before January 1, 2027. If eligible and elected, the Company must file Form 502PTET, due by the 15th day of the 4th month after the close of the taxable year. NOTE: Single-member disregarded entity LLCs are NOT eligible for the PTET election. Multi-member LLCs filing as partnerships may elect PTET.</w:t>
      </w:r>
    </w:p>
    <w:p>
      <w:pPr>
        <w:pStyle w:val="SH"/>
      </w:pPr>
      <w:r>
        <w:rPr>
          <w:rFonts w:ascii="Times New Roman" w:cs="Times New Roman" w:eastAsia="Times New Roman" w:hAnsi="Times New Roman"/>
          <w:b/>
          <w:bCs/>
          <w:sz w:val="24"/>
          <w:szCs w:val="24"/>
        </w:rPr>
        <w:t xml:space="preserve">10.03  Virginia Annual Registration Fee — NOT an Annual Report.</w:t>
      </w:r>
    </w:p>
    <w:p>
      <w:pPr>
        <w:pStyle w:val="BJ"/>
      </w:pPr>
      <w:r>
        <w:rPr>
          <w:rFonts w:ascii="Times New Roman" w:cs="Times New Roman" w:eastAsia="Times New Roman" w:hAnsi="Times New Roman"/>
          <w:sz w:val="24"/>
          <w:szCs w:val="24"/>
        </w:rPr>
        <w:t xml:space="preserve">VIRGINIA-SPECIFIC DISTINCTION: Virginia LLCs do not file an annual report. The Company's only recurring SCC compliance obligation is the $50 Annual Registration Fee under Va. Code § 13.1-1062, due by the last day of the anniversary month through the Clerk's Information System (CIS). Virginia has no separate LLC franchise tax.</w:t>
      </w:r>
    </w:p>
    <w:p>
      <w:pPr>
        <w:pStyle w:val="SH"/>
      </w:pPr>
      <w:r>
        <w:rPr>
          <w:rFonts w:ascii="Times New Roman" w:cs="Times New Roman" w:eastAsia="Times New Roman" w:hAnsi="Times New Roman"/>
          <w:b/>
          <w:bCs/>
          <w:sz w:val="24"/>
          <w:szCs w:val="24"/>
        </w:rPr>
        <w:t xml:space="preserve">10.04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10.05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10.06  Tax Elections.</w:t>
      </w:r>
    </w:p>
    <w:p>
      <w:pPr>
        <w:pStyle w:val="BJ"/>
      </w:pPr>
      <w:r>
        <w:rPr>
          <w:rFonts w:ascii="Times New Roman" w:cs="Times New Roman" w:eastAsia="Times New Roman" w:hAnsi="Times New Roman"/>
          <w:sz w:val="24"/>
          <w:szCs w:val="24"/>
        </w:rPr>
        <w:t xml:space="preserve">All federal and state tax elections materially affecting the Company's tax treatment shall be made by the Manager(s) with Member approval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This Operating Agreement may be amended by Members holding at least sixty-six and two-thirds percent (66.67%) of total ownership interests.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 Freedom of Contract.</w:t>
      </w:r>
    </w:p>
    <w:p>
      <w:pPr>
        <w:pStyle w:val="BJ"/>
      </w:pPr>
      <w:r>
        <w:rPr>
          <w:rFonts w:ascii="Times New Roman" w:cs="Times New Roman" w:eastAsia="Times New Roman" w:hAnsi="Times New Roman"/>
          <w:sz w:val="24"/>
          <w:szCs w:val="24"/>
        </w:rPr>
        <w:t xml:space="preserve">This Agreement shall be governed by the laws of the Commonwealth of Virginia, including Va. Code Title 13.1, Chapter 12. Pursuant to Va. Code § 13.1-1001.1(C), this Agreement shall be construed to give 'maximum effect to the principle of freedom of contract and of enforcing operating agreements.'</w:t>
      </w:r>
    </w:p>
    <w:p>
      <w:pPr>
        <w:pStyle w:val="SH"/>
      </w:pPr>
      <w:r>
        <w:rPr>
          <w:rFonts w:ascii="Times New Roman" w:cs="Times New Roman" w:eastAsia="Times New Roman" w:hAnsi="Times New Roman"/>
          <w:b/>
          <w:bCs/>
          <w:sz w:val="24"/>
          <w:szCs w:val="24"/>
        </w:rPr>
        <w:t xml:space="preserve">11.03  Consistency with Articles of Organization.</w:t>
      </w:r>
    </w:p>
    <w:p>
      <w:pPr>
        <w:pStyle w:val="BJ"/>
      </w:pPr>
      <w:r>
        <w:rPr>
          <w:rFonts w:ascii="Times New Roman" w:cs="Times New Roman" w:eastAsia="Times New Roman" w:hAnsi="Times New Roman"/>
          <w:sz w:val="24"/>
          <w:szCs w:val="24"/>
        </w:rPr>
        <w:t xml:space="preserve">The management structure, registered agent, and other provisions of this Agreement must remain consistent with the Articles of Organization on file with the SCC. In the event of any conflict, the Articles shall control with respect to matters required by law to appear therein.</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in good faith to resolve any dispute through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a Virginia county,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a Virginia county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Virginia circuit courts; venue: county of the Company's principal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VIRGINIA § 13.1-1023(B)(1) AND § 13.1-1023(A)(2) ORAL/INFORMAL WRITING RISK: Va. Code § 13.1-1023(B)(1) provides that a Virginia operating agreement "need not be in writing." For single-member LLCs, § 13.1-1023(A)(2) deems any writing signed by the sole Member relating to LLC affairs as part of the operating agreement — including emails, memos, and side letters. This Section expressly negates that risk: THIS WRITTEN OPERATING AGREEMENT, together with the Articles of Organization and all exhibits and amendments signed in writing, constitutes the ENTIRE, COMPLETE, AND EXCLUSIVE agreement of the Members with respect to the internal affairs and governance of the Company, and supersedes ALL prior and contemporaneous oral, implied, written, email, electronic, text-message, memo, or side-letter understandings and arrangements, regardless of form. No prior course of dealing, pattern of conduct, oral statement, email, or informal writing shall constitute or be deemed part of the operating agreement.</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Virginia's Uniform Electronic Transactions Act and shall be deemed original signatures for all purposes.</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with tracking; or (c) sent by email with confirmation of receipt, to the address on file with the Company.</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and deliver this Agreement and that execution does not violate any other agreement to which the person is a party.</w:t>
      </w:r>
    </w:p>
    <w:p>
      <w:r>
        <w:br w:type="page"/>
      </w:r>
    </w:p>
    <w:p>
      <w:pPr>
        <w:spacing w:after="80" w:before="240"/>
        <w:jc w:val="center"/>
      </w:pPr>
      <w:r>
        <w:rPr>
          <w:rFonts w:ascii="Times New Roman" w:cs="Times New Roman" w:eastAsia="Times New Roman" w:hAnsi="Times New Roman"/>
          <w:b/>
          <w:bCs/>
          <w:sz w:val="26"/>
          <w:szCs w:val="26"/>
        </w:rPr>
        <w:t xml:space="preserve">SIGNATURE PAGE — MANAGERS</w:t>
      </w:r>
    </w:p>
    <w:p>
      <w:pPr>
        <w:pStyle w:val="BJ"/>
      </w:pPr>
      <w:r>
        <w:rPr>
          <w:rFonts w:ascii="Times New Roman" w:cs="Times New Roman" w:eastAsia="Times New Roman" w:hAnsi="Times New Roman"/>
          <w:sz w:val="24"/>
          <w:szCs w:val="24"/>
        </w:rPr>
        <w:t xml:space="preserve">IN WITNESS WHEREOF, the Manager(s) and Members have executed this Operating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MANAGER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VA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MANAGER 2 (if applicable)</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VA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160" w:before="0"/>
      </w:pPr>
    </w:p>
    <w:p>
      <w:r>
        <w:rPr>
          <w:rFonts w:ascii="Times New Roman" w:cs="Times New Roman" w:eastAsia="Times New Roman" w:hAnsi="Times New Roman"/>
          <w:i/>
          <w:iCs/>
          <w:sz w:val="20"/>
          <w:szCs w:val="20"/>
        </w:rPr>
        <w:t xml:space="preserve">(Attach additional Manager signature pages as needed)</w:t>
      </w:r>
    </w:p>
    <w:p>
      <w:pPr>
        <w:spacing w:after="240" w:before="0"/>
      </w:pPr>
    </w:p>
    <w:p>
      <w:pPr>
        <w:spacing w:after="80" w:before="0"/>
        <w:jc w:val="center"/>
      </w:pPr>
      <w:r>
        <w:rPr>
          <w:rFonts w:ascii="Times New Roman" w:cs="Times New Roman" w:eastAsia="Times New Roman" w:hAnsi="Times New Roman"/>
          <w:b/>
          <w:bCs/>
          <w:sz w:val="26"/>
          <w:szCs w:val="26"/>
        </w:rPr>
        <w:t xml:space="preserve">SIGNATURE PAGE — MEMBERS</w:t>
      </w: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INITIAL CAPITAL CONTRIBUTIONS</w:t>
      </w:r>
    </w:p>
    <w:p>
      <w:pPr>
        <w:pStyle w:val="BJ"/>
      </w:pPr>
      <w:r>
        <w:rPr>
          <w:rFonts w:ascii="Times New Roman" w:cs="Times New Roman" w:eastAsia="Times New Roman" w:hAnsi="Times New Roman"/>
          <w:sz w:val="24"/>
          <w:szCs w:val="24"/>
        </w:rPr>
        <w:t xml:space="preserve">VIRGINIA NOTE: Under Va. Code Article 6, § 13.1-1030, profit/loss allocation and distributions default to the recorded value of contributions. This Agreement overrides that default via the ownership percentages below.</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Virginia LLC Operating Agreement template is provided by Boost Suite for informational and general reference purposes only. It does not constitute legal advice and does not create an attorney-client relationship. This template is based on the Virginia Limited Liability Company Act, Code of Virginia, Title 13.1, Chapter 12. Laws may change after publication. You should consult a licensed Virginia attorney before executing this Agreement, particularly if your LLC has complex ownership structures, passive investors, a series LLC structure (see Va. Code §§ 13.1-1092 and 13.1-1093), or multi-state operations. The Virginia Lawyer Referral Service (vsb.org) can connect you with a licensed Virginia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Virginia LLC Resources:</w:t>
      </w:r>
    </w:p>
    <w:p>
      <w:pPr>
        <w:pStyle w:val="BJ"/>
      </w:pPr>
      <w:r>
        <w:rPr>
          <w:rFonts w:ascii="Times New Roman" w:cs="Times New Roman" w:eastAsia="Times New Roman" w:hAnsi="Times New Roman"/>
          <w:sz w:val="22"/>
          <w:szCs w:val="22"/>
        </w:rPr>
        <w:t xml:space="preserve">→ </w:t>
      </w:r>
      <w:hyperlink w:history="1" r:id="rId5oovfrlnrlwm9wv6_fvk7">
        <w:r>
          <w:rPr>
            <w:rStyle w:val="Hyperlink"/>
            <w:rFonts w:ascii="Times New Roman" w:cs="Times New Roman" w:eastAsia="Times New Roman" w:hAnsi="Times New Roman"/>
            <w:color w:val="1155CC"/>
            <w:sz w:val="22"/>
            <w:szCs w:val="22"/>
            <w:u w:val="single"/>
          </w:rPr>
          <w:t xml:space="preserve">boostsuite.com/llc-operating-agreement/virginia/</w:t>
        </w:r>
      </w:hyperlink>
    </w:p>
    <w:p>
      <w:pPr>
        <w:pStyle w:val="BJ"/>
      </w:pPr>
      <w:r>
        <w:rPr>
          <w:rFonts w:ascii="Times New Roman" w:cs="Times New Roman" w:eastAsia="Times New Roman" w:hAnsi="Times New Roman"/>
          <w:sz w:val="22"/>
          <w:szCs w:val="22"/>
        </w:rPr>
        <w:t xml:space="preserve">→ </w:t>
      </w:r>
      <w:hyperlink w:history="1" r:id="rIdekj5assin2yzpzxyowrna">
        <w:r>
          <w:rPr>
            <w:rStyle w:val="Hyperlink"/>
            <w:rFonts w:ascii="Times New Roman" w:cs="Times New Roman" w:eastAsia="Times New Roman" w:hAnsi="Times New Roman"/>
            <w:color w:val="1155CC"/>
            <w:sz w:val="22"/>
            <w:szCs w:val="22"/>
            <w:u w:val="single"/>
          </w:rPr>
          <w:t xml:space="preserve">boostsuite.com/how-to-start-an-llc/virginia/</w:t>
        </w:r>
      </w:hyperlink>
    </w:p>
    <w:p>
      <w:pPr>
        <w:pStyle w:val="BJ"/>
      </w:pPr>
      <w:r>
        <w:rPr>
          <w:rFonts w:ascii="Times New Roman" w:cs="Times New Roman" w:eastAsia="Times New Roman" w:hAnsi="Times New Roman"/>
          <w:sz w:val="22"/>
          <w:szCs w:val="22"/>
        </w:rPr>
        <w:t xml:space="preserve">→ </w:t>
      </w:r>
      <w:hyperlink w:history="1" r:id="rIdtc7ez4grthzcsbbuldl-8">
        <w:r>
          <w:rPr>
            <w:rStyle w:val="Hyperlink"/>
            <w:rFonts w:ascii="Times New Roman" w:cs="Times New Roman" w:eastAsia="Times New Roman" w:hAnsi="Times New Roman"/>
            <w:color w:val="1155CC"/>
            <w:sz w:val="22"/>
            <w:szCs w:val="22"/>
            <w:u w:val="single"/>
          </w:rPr>
          <w:t xml:space="preserve">boostsuite.com/how-to-start-an-llc/cost/virginia/</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5oovfrlnrlwm9wv6_fvk7" Type="http://schemas.openxmlformats.org/officeDocument/2006/relationships/hyperlink" Target="https://boostsuite.com/llc-operating-agreement/virginia/" TargetMode="External"/><Relationship Id="rIdekj5assin2yzpzxyowrna" Type="http://schemas.openxmlformats.org/officeDocument/2006/relationships/hyperlink" Target="https://boostsuite.com/how-to-start-an-llc/virginia/" TargetMode="External"/><Relationship Id="rIdtc7ez4grthzcsbbuldl-8" Type="http://schemas.openxmlformats.org/officeDocument/2006/relationships/hyperlink" Target="https://boostsuite.com/how-to-start-an-llc/cost/virgini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2026-04-29T04:13:19.115Z</dcterms:created>
  <dcterms:modified xsi:type="dcterms:W3CDTF">2026-04-29T04:13:19.115Z</dcterms:modified>
</cp:coreProperties>
</file>

<file path=docProps/custom.xml><?xml version="1.0" encoding="utf-8"?>
<Properties xmlns="http://schemas.openxmlformats.org/officeDocument/2006/custom-properties" xmlns:vt="http://schemas.openxmlformats.org/officeDocument/2006/docPropsVTypes"/>
</file>