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UTAH</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Utah Code Title 48, Chapter 3a</w:t>
      </w:r>
    </w:p>
    <w:p>
      <w:pPr>
        <w:spacing w:after="200" w:before="0"/>
        <w:jc w:val="center"/>
      </w:pPr>
      <w:r>
        <w:rPr>
          <w:rFonts w:ascii="Times New Roman" w:cs="Times New Roman" w:eastAsia="Times New Roman" w:hAnsi="Times New Roman"/>
          <w:sz w:val="20"/>
          <w:szCs w:val="20"/>
        </w:rPr>
        <w:t xml:space="preserve">(Utah Revised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Utah limited liability company by filing a Certificate of Organization with the Utah Department of Commerce, Division of Corporations and Commercial Code, pursuant to the Utah Revised Uniform Limited Liability Company Act, Utah Code Title 48, Chapter 3a (the "Act"). This Operating Agreement is entered into pursuant to Utah Code Ann. § 48-3a-112.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is:</w:t>
      </w:r>
    </w:p>
    <w:p>
      <w:pPr>
        <w:pStyle w:val="BJ"/>
      </w:pPr>
      <w:r>
        <w:rPr>
          <w:rFonts w:ascii="Times New Roman" w:cs="Times New Roman" w:eastAsia="Times New Roman" w:hAnsi="Times New Roman"/>
          <w:color w:val="2244AA"/>
          <w:sz w:val="24"/>
          <w:szCs w:val="24"/>
          <w:u w:val="single"/>
        </w:rPr>
        <w:t xml:space="preserve">[Company legal name]</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[UT]</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the State of Utah (no post office box), available during normal business hours to receive service of process. The initial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[UT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multi-member, member-managed limited liability company pursuant to Utah Code Ann. § 48-3a-407. Member-managed is the statutory default and requires no special OA language to maintain.</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Utah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filing date of the Certificate of Organization with the Utah Division of Corporations and Commercial Code,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Utah Revised Uniform Limited Liability Company Act, Utah Code Title 48, Chapter 3a, as amended from time to time.</w:t>
      </w:r>
    </w:p>
    <w:p>
      <w:pPr>
        <w:pStyle w:val="BJ"/>
      </w:pPr>
      <w:r>
        <w:rPr>
          <w:rFonts w:ascii="Times New Roman" w:cs="Times New Roman" w:eastAsia="Times New Roman" w:hAnsi="Times New Roman"/>
          <w:b/>
          <w:bCs/>
          <w:sz w:val="24"/>
          <w:szCs w:val="24"/>
        </w:rPr>
        <w:t xml:space="preserve">"Annual Renewal" </w:t>
      </w:r>
      <w:r>
        <w:rPr>
          <w:rFonts w:ascii="Times New Roman" w:cs="Times New Roman" w:eastAsia="Times New Roman" w:hAnsi="Times New Roman"/>
          <w:sz w:val="24"/>
          <w:szCs w:val="24"/>
        </w:rPr>
        <w:t xml:space="preserve">means the annual renewal filing required by Utah Code Ann. § 48-3a-212, due by the last day of the anniversary month of formation, with a $18 fee (current schedule). Failure to renew may result in administrative dissolution under § 48-3a-708.</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of Organization (Limited Liability Company) filed with the Utah Department of Commerce, Division of Corporations and Commercial Code,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Utah Code Ann. § 48-3a-503, the exclusive remedy by which a judgment creditor may reach a Member's Transferable Interest.</w:t>
      </w:r>
    </w:p>
    <w:p>
      <w:pPr>
        <w:pStyle w:val="BJ"/>
      </w:pPr>
      <w:r>
        <w:rPr>
          <w:rFonts w:ascii="Times New Roman" w:cs="Times New Roman" w:eastAsia="Times New Roman" w:hAnsi="Times New Roman"/>
          <w:b/>
          <w:bCs/>
          <w:sz w:val="24"/>
          <w:szCs w:val="24"/>
        </w:rPr>
        <w:t xml:space="preserve">"Division of Corporations" </w:t>
      </w:r>
      <w:r>
        <w:rPr>
          <w:rFonts w:ascii="Times New Roman" w:cs="Times New Roman" w:eastAsia="Times New Roman" w:hAnsi="Times New Roman"/>
          <w:sz w:val="24"/>
          <w:szCs w:val="24"/>
        </w:rPr>
        <w:t xml:space="preserve">means the Utah Department of Commerce, Division of Corporations and Commercial Code.</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Utah Code Ann. § 48-3a-112. Under § 48-3a-102(16), an OA may be "oral, implied, in a record, or any combination thereof." This written Agreement is intended to be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"Ordinary Course of Business" </w:t>
      </w:r>
      <w:r>
        <w:rPr>
          <w:rFonts w:ascii="Times New Roman" w:cs="Times New Roman" w:eastAsia="Times New Roman" w:hAnsi="Times New Roman"/>
          <w:sz w:val="24"/>
          <w:szCs w:val="24"/>
        </w:rPr>
        <w:t xml:space="preserve">means day-to-day activities consistent with the Company's stated purpose, as distinguished from extraordinary acts requiring supermajority or unanimous approval under Article V.</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Utah Code Ann. § 48-3a-501. Does not include management or voting rights without admission as a Member.</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attached hereto. Utah law does not specify a minimum capital contribution requirement.</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Voluntary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UTAH CODE § 48-3a-404 PER-CAPITA DEFAULT: Utah Code Ann. § 48-3a-404 provides that, absent a contrary operating agreement, interim distributions before dissolution are made in EQUAL SHARES among all members and dissociated members, regardless of capital contributions. This per-capita rule is the most common distribution trap in Utah LLCs. This Agreement expressly overrides that default: net profits and losses shall be allocated in proportion to each Member's ownership percentage as set forth in Exhibit 1 — NOT equally.</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Members in proportion to their ownership percentages as set forth in Exhibit 1, at such times and in such amounts as determined pursuant to Article V. This expressly overrides the equal-shares per-capita default of Utah Code Ann. § 48-3a-404.</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if, after giving effect to it: (a) the Company could not pay its debts as they become due; or (b) total assets would be less than total liabilities. Any Member who receives an unlawful distribution may be liable to the Company under Utah Code Ann. § 48-3a-405.</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to enable each Member to pay federal and state income taxes on the Member's allocable share of Company income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Utah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pursuant to Utah Code Ann. § 48-3a-407(1)-(2). This is the statutory default and requires no special language to maintain.</w:t>
      </w:r>
    </w:p>
    <w:p>
      <w:pPr>
        <w:pStyle w:val="SH"/>
      </w:pPr>
      <w:r>
        <w:rPr>
          <w:rFonts w:ascii="Times New Roman" w:cs="Times New Roman" w:eastAsia="Times New Roman" w:hAnsi="Times New Roman"/>
          <w:b/>
          <w:bCs/>
          <w:sz w:val="24"/>
          <w:szCs w:val="24"/>
        </w:rPr>
        <w:t xml:space="preserve">5.02  Ordinary Business — Percentage Vote.</w:t>
      </w:r>
    </w:p>
    <w:p>
      <w:pPr>
        <w:pStyle w:val="BJ"/>
      </w:pPr>
      <w:r>
        <w:rPr>
          <w:rFonts w:ascii="Times New Roman" w:cs="Times New Roman" w:eastAsia="Times New Roman" w:hAnsi="Times New Roman"/>
          <w:sz w:val="24"/>
          <w:szCs w:val="24"/>
        </w:rPr>
        <w:t xml:space="preserve">OVERRIDE OF UTAH CODE § 48-3a-407 EQUAL-VOTE DEFAULT: Utah law gives each member equal voting rights regardless of ownership percentage. This Agreement overrides that default. For all ordinary-course business decisions not listed in Section 5.03, approval requires the affirmative vote of Members holding more than fifty percent (50%) of total outstanding ownership interests, weighted by ownership percentage per Exhibit 1.</w:t>
      </w:r>
    </w:p>
    <w:p>
      <w:pPr>
        <w:pStyle w:val="SH"/>
      </w:pPr>
      <w:r>
        <w:rPr>
          <w:rFonts w:ascii="Times New Roman" w:cs="Times New Roman" w:eastAsia="Times New Roman" w:hAnsi="Times New Roman"/>
          <w:b/>
          <w:bCs/>
          <w:sz w:val="24"/>
          <w:szCs w:val="24"/>
        </w:rPr>
        <w:t xml:space="preserve">5.03  Major Decisions — Supermajority.</w:t>
      </w:r>
    </w:p>
    <w:p>
      <w:pPr>
        <w:pStyle w:val="BJ"/>
      </w:pPr>
      <w:r>
        <w:rPr>
          <w:rFonts w:ascii="Times New Roman" w:cs="Times New Roman" w:eastAsia="Times New Roman" w:hAnsi="Times New Roman"/>
          <w:sz w:val="24"/>
          <w:szCs w:val="24"/>
        </w:rPr>
        <w:t xml:space="preserve">The following actions require the affirmative vote of Members holding at least sixty-six and two-thirds percent (66.67%) of total outstanding ownership interests:</w:t>
      </w:r>
    </w:p>
    <w:p>
      <w:pPr>
        <w:pStyle w:val="BI"/>
      </w:pPr>
      <w:r>
        <w:rPr>
          <w:rFonts w:ascii="Times New Roman" w:cs="Times New Roman" w:eastAsia="Times New Roman" w:hAnsi="Times New Roman"/>
          <w:sz w:val="24"/>
          <w:szCs w:val="24"/>
        </w:rPr>
        <w:t xml:space="preserve">(a) Amending this Operating Agreement (which would otherwise require unanimous consent under § 48-3a-407 default);</w:t>
      </w:r>
    </w:p>
    <w:p>
      <w:pPr>
        <w:pStyle w:val="BI"/>
      </w:pPr>
      <w:r>
        <w:rPr>
          <w:rFonts w:ascii="Times New Roman" w:cs="Times New Roman" w:eastAsia="Times New Roman" w:hAnsi="Times New Roman"/>
          <w:sz w:val="24"/>
          <w:szCs w:val="24"/>
        </w:rPr>
        <w:t xml:space="preserve">(b) Amending the Certificate of Organization;</w:t>
      </w:r>
    </w:p>
    <w:p>
      <w:pPr>
        <w:pStyle w:val="BI"/>
      </w:pPr>
      <w:r>
        <w:rPr>
          <w:rFonts w:ascii="Times New Roman" w:cs="Times New Roman" w:eastAsia="Times New Roman" w:hAnsi="Times New Roman"/>
          <w:sz w:val="24"/>
          <w:szCs w:val="24"/>
        </w:rPr>
        <w:t xml:space="preserve">(c) Admitting a new Member (which would otherwise require unanimous consent under § 48-3a-401(3)(c) default);</w:t>
      </w:r>
    </w:p>
    <w:p>
      <w:pPr>
        <w:pStyle w:val="BI"/>
      </w:pPr>
      <w:r>
        <w:rPr>
          <w:rFonts w:ascii="Times New Roman" w:cs="Times New Roman" w:eastAsia="Times New Roman" w:hAnsi="Times New Roman"/>
          <w:sz w:val="24"/>
          <w:szCs w:val="24"/>
        </w:rPr>
        <w:t xml:space="preserve">(d) Making any interim distribution outside the ordinary course;</w:t>
      </w:r>
    </w:p>
    <w:p>
      <w:pPr>
        <w:pStyle w:val="BI"/>
      </w:pPr>
      <w:r>
        <w:rPr>
          <w:rFonts w:ascii="Times New Roman" w:cs="Times New Roman" w:eastAsia="Times New Roman" w:hAnsi="Times New Roman"/>
          <w:sz w:val="24"/>
          <w:szCs w:val="24"/>
        </w:rPr>
        <w:t xml:space="preserve">(e) Releasing any Member's obligation to make a Capital Contribution;</w:t>
      </w:r>
    </w:p>
    <w:p>
      <w:pPr>
        <w:pStyle w:val="BI"/>
      </w:pPr>
      <w:r>
        <w:rPr>
          <w:rFonts w:ascii="Times New Roman" w:cs="Times New Roman" w:eastAsia="Times New Roman" w:hAnsi="Times New Roman"/>
          <w:sz w:val="24"/>
          <w:szCs w:val="24"/>
        </w:rPr>
        <w:t xml:space="preserve">(f) Authorizing winding up and dissolution;</w:t>
      </w:r>
    </w:p>
    <w:p>
      <w:pPr>
        <w:pStyle w:val="BI"/>
      </w:pPr>
      <w:r>
        <w:rPr>
          <w:rFonts w:ascii="Times New Roman" w:cs="Times New Roman" w:eastAsia="Times New Roman" w:hAnsi="Times New Roman"/>
          <w:sz w:val="24"/>
          <w:szCs w:val="24"/>
        </w:rPr>
        <w:t xml:space="preserve">(g) Selling, leasing, or disposing of substantially all Company assets outside the ordinary course;</w:t>
      </w:r>
    </w:p>
    <w:p>
      <w:pPr>
        <w:pStyle w:val="BI"/>
      </w:pPr>
      <w:r>
        <w:rPr>
          <w:rFonts w:ascii="Times New Roman" w:cs="Times New Roman" w:eastAsia="Times New Roman" w:hAnsi="Times New Roman"/>
          <w:sz w:val="24"/>
          <w:szCs w:val="24"/>
        </w:rPr>
        <w:t xml:space="preserve">(h) Merging or converting the Company;</w:t>
      </w:r>
    </w:p>
    <w:p>
      <w:pPr>
        <w:pStyle w:val="BI"/>
      </w:pPr>
      <w:r>
        <w:rPr>
          <w:rFonts w:ascii="Times New Roman" w:cs="Times New Roman" w:eastAsia="Times New Roman" w:hAnsi="Times New Roman"/>
          <w:sz w:val="24"/>
          <w:szCs w:val="24"/>
        </w:rPr>
        <w:t xml:space="preserve">(i) Incurring any single debt or liability in excess of the threshold set forth below:</w:t>
      </w:r>
    </w:p>
    <w:p>
      <w:pPr>
        <w:pStyle w:val="BJ"/>
      </w:pPr>
      <w:r>
        <w:rPr>
          <w:rFonts w:ascii="Times New Roman" w:cs="Times New Roman" w:eastAsia="Times New Roman" w:hAnsi="Times New Roman"/>
          <w:sz w:val="24"/>
          <w:szCs w:val="24"/>
        </w:rPr>
        <w:t xml:space="preserve">Debt/liability 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5.04  Unanimous Consent.</w:t>
      </w:r>
    </w:p>
    <w:p>
      <w:pPr>
        <w:pStyle w:val="BJ"/>
      </w:pPr>
      <w:r>
        <w:rPr>
          <w:rFonts w:ascii="Times New Roman" w:cs="Times New Roman" w:eastAsia="Times New Roman" w:hAnsi="Times New Roman"/>
          <w:sz w:val="24"/>
          <w:szCs w:val="24"/>
        </w:rPr>
        <w:t xml:space="preserve">The following require unanimous written consent of all Members: (a) any transaction between the Company and a Member or affiliate outside the ordinary course; and (b) any other matter expressly requiring unanimous consent under the Act not modified by Section 5.03.</w:t>
      </w:r>
    </w:p>
    <w:p>
      <w:pPr>
        <w:pStyle w:val="SH"/>
      </w:pPr>
      <w:r>
        <w:rPr>
          <w:rFonts w:ascii="Times New Roman" w:cs="Times New Roman" w:eastAsia="Times New Roman" w:hAnsi="Times New Roman"/>
          <w:b/>
          <w:bCs/>
          <w:sz w:val="24"/>
          <w:szCs w:val="24"/>
        </w:rPr>
        <w:t xml:space="preserve">5.05  Authority to Bind the Company.</w:t>
      </w:r>
    </w:p>
    <w:p>
      <w:pPr>
        <w:pStyle w:val="BJ"/>
      </w:pPr>
      <w:r>
        <w:rPr>
          <w:rFonts w:ascii="Times New Roman" w:cs="Times New Roman" w:eastAsia="Times New Roman" w:hAnsi="Times New Roman"/>
          <w:sz w:val="24"/>
          <w:szCs w:val="24"/>
        </w:rPr>
        <w:t xml:space="preserve">UTAH CODE § 48-3a-301 NOTICE: Under Utah Code Ann. § 48-3a-301, a member is NOT an agent of the LLC solely by reason of being a member. The following persons are authorized to execute contracts and instruments on behalf of the Company in the ordinary course:</w:t>
      </w:r>
    </w:p>
    <w:p>
      <w:pPr>
        <w:pStyle w:val="BJ"/>
      </w:pPr>
      <w:r>
        <w:rPr>
          <w:rFonts w:ascii="Times New Roman" w:cs="Times New Roman" w:eastAsia="Times New Roman" w:hAnsi="Times New Roman"/>
          <w:sz w:val="24"/>
          <w:szCs w:val="24"/>
        </w:rPr>
        <w:t xml:space="preserve">Authorized Signatory: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additional authorized signatories (attach schedule)</w:t>
      </w:r>
    </w:p>
    <w:p>
      <w:pPr>
        <w:pStyle w:val="BJ"/>
      </w:pPr>
      <w:r>
        <w:rPr>
          <w:rFonts w:ascii="Times New Roman" w:cs="Times New Roman" w:eastAsia="Times New Roman" w:hAnsi="Times New Roman"/>
          <w:sz w:val="24"/>
          <w:szCs w:val="24"/>
        </w:rPr>
        <w:t xml:space="preserve">For extraordinary acts under Sections 5.03 and 5.04, execution requires evidence of the requisite Member approval.</w:t>
      </w:r>
    </w:p>
    <w:p>
      <w:pPr>
        <w:pStyle w:val="SH"/>
      </w:pPr>
      <w:r>
        <w:rPr>
          <w:rFonts w:ascii="Times New Roman" w:cs="Times New Roman" w:eastAsia="Times New Roman" w:hAnsi="Times New Roman"/>
          <w:b/>
          <w:bCs/>
          <w:sz w:val="24"/>
          <w:szCs w:val="24"/>
        </w:rPr>
        <w:t xml:space="preserve">5.06  Meetings and Written Consent.</w:t>
      </w:r>
    </w:p>
    <w:p>
      <w:pPr>
        <w:pStyle w:val="BJ"/>
      </w:pPr>
      <w:r>
        <w:rPr>
          <w:rFonts w:ascii="Times New Roman" w:cs="Times New Roman" w:eastAsia="Times New Roman" w:hAnsi="Times New Roman"/>
          <w:sz w:val="24"/>
          <w:szCs w:val="24"/>
        </w:rPr>
        <w:t xml:space="preserve">Members may act by meeting or by written consent. A written consent signed by Members holding the requisite ownership percentage shall be as effective as a vote at a duly held meeting.</w:t>
      </w:r>
    </w:p>
    <w:p>
      <w:pPr>
        <w:pStyle w:val="SH"/>
      </w:pPr>
      <w:r>
        <w:rPr>
          <w:rFonts w:ascii="Times New Roman" w:cs="Times New Roman" w:eastAsia="Times New Roman" w:hAnsi="Times New Roman"/>
          <w:b/>
          <w:bCs/>
          <w:sz w:val="24"/>
          <w:szCs w:val="24"/>
        </w:rPr>
        <w:t xml:space="preserve">5.07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separately approved by the requisite Member vote. Members may be reimbursed for documented expenses.</w:t>
      </w:r>
    </w:p>
    <w:p>
      <w:pPr>
        <w:pStyle w:val="SH"/>
      </w:pPr>
      <w:r>
        <w:rPr>
          <w:rFonts w:ascii="Times New Roman" w:cs="Times New Roman" w:eastAsia="Times New Roman" w:hAnsi="Times New Roman"/>
          <w:b/>
          <w:bCs/>
          <w:sz w:val="24"/>
          <w:szCs w:val="24"/>
        </w:rPr>
        <w:t xml:space="preserve">5.08  Annual Renewal Compliance.</w:t>
      </w:r>
    </w:p>
    <w:p>
      <w:pPr>
        <w:pStyle w:val="BJ"/>
      </w:pPr>
      <w:r>
        <w:rPr>
          <w:rFonts w:ascii="Times New Roman" w:cs="Times New Roman" w:eastAsia="Times New Roman" w:hAnsi="Times New Roman"/>
          <w:sz w:val="24"/>
          <w:szCs w:val="24"/>
        </w:rPr>
        <w:t xml:space="preserve">The Members shall ensure timely filing of the Company's Annual Renewal with the Utah Division of Corporations by the last day of the anniversary month each year ($18 fee). Failure to file may result in administrative dissolution under Utah Code Ann. § 48-3a-708 and § 48-3a-701(6).</w:t>
      </w:r>
    </w:p>
    <w:p>
      <w:pPr>
        <w:pStyle w:val="SH"/>
      </w:pPr>
      <w:r>
        <w:rPr>
          <w:rFonts w:ascii="Times New Roman" w:cs="Times New Roman" w:eastAsia="Times New Roman" w:hAnsi="Times New Roman"/>
          <w:b/>
          <w:bCs/>
          <w:sz w:val="24"/>
          <w:szCs w:val="24"/>
        </w:rPr>
        <w:t xml:space="preserve">5.09  Fiscal Year.</w:t>
      </w:r>
    </w:p>
    <w:p>
      <w:pPr>
        <w:pStyle w:val="BJ"/>
      </w:pPr>
      <w:r>
        <w:rPr>
          <w:rFonts w:ascii="Times New Roman" w:cs="Times New Roman" w:eastAsia="Times New Roman" w:hAnsi="Times New Roman"/>
          <w:sz w:val="24"/>
          <w:szCs w:val="24"/>
        </w:rPr>
        <w:t xml:space="preserve">The fiscal year of the Company shall be the calendar year unless the Members unanimously elect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Member owes a duty of loyalty to the Company as provided in Utah Code Ann. § 48-3a-409, including: (a) accounting for and holding as trustee any property or benefit derived from Company business without Member consent; (b) refraining from dealing with the Company as an adverse party without disclosure and consent; and (c) refraining from competing with the Company before dissolution without unanimous written consent. This duty may be defined but not eliminated under § 48-3a-112.</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owes a duty of care to act in good faith, in a manner reasonably believed to be in the best interests of the Company, with the care a person in a like position would reasonably exercise under similar circumstances, per Utah Code Ann. § 48-3a-409. This duty cannot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Members shall discharge all duties and exercise all rights consistent with the contractual obligation of good faith and fair dealing under Utah Code Ann. § 48-3a-409. This obligation cannot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and against any claim, liability, cost, or expense (including reasonable attorneys' fees) arising from good-faith acts within the scope of authority conferred by this Agreement, pursuant to Utah Code Ann. § 48-3a-408. No indemnification shall be available for bad faith, willful misconduct, recklessness, or a knowing violation of law. Indemnification shall be paid from Company assets only.</w:t>
      </w:r>
    </w:p>
    <w:p>
      <w:pPr>
        <w:pStyle w:val="SH"/>
      </w:pPr>
      <w:r>
        <w:rPr>
          <w:rFonts w:ascii="Times New Roman" w:cs="Times New Roman" w:eastAsia="Times New Roman" w:hAnsi="Times New Roman"/>
          <w:b/>
          <w:bCs/>
          <w:sz w:val="24"/>
          <w:szCs w:val="24"/>
        </w:rPr>
        <w:t xml:space="preserve">6.05  Non-Waivable Provisions.</w:t>
      </w:r>
    </w:p>
    <w:p>
      <w:pPr>
        <w:pStyle w:val="BJ"/>
      </w:pPr>
      <w:r>
        <w:rPr>
          <w:rFonts w:ascii="Times New Roman" w:cs="Times New Roman" w:eastAsia="Times New Roman" w:hAnsi="Times New Roman"/>
          <w:sz w:val="24"/>
          <w:szCs w:val="24"/>
        </w:rPr>
        <w:t xml:space="preserve">Under Utah Code Ann. § 48-3a-112, the following cannot be eliminated by this Agreement: (a) the duty of loyalty (may be defined, not eliminated); (b) the duty of care (may not be unreasonably reduced); (c) the obligation of good faith and fair dealing; (d) certain information rights of Members; (e) rights of transferees and creditors under Part 5; and (f) the right to seek judicial dissolution under § 48-3a-701.</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Restriction on Transfer.</w:t>
      </w:r>
    </w:p>
    <w:p>
      <w:pPr>
        <w:pStyle w:val="BJ"/>
      </w:pPr>
      <w:r>
        <w:rPr>
          <w:rFonts w:ascii="Times New Roman" w:cs="Times New Roman" w:eastAsia="Times New Roman" w:hAnsi="Times New Roman"/>
          <w:sz w:val="24"/>
          <w:szCs w:val="24"/>
        </w:rPr>
        <w:t xml:space="preserve">No Member may transfer all or any portion of the Member's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7.02  Permitted Transfers.</w:t>
      </w:r>
    </w:p>
    <w:p>
      <w:pPr>
        <w:pStyle w:val="BJ"/>
      </w:pPr>
      <w:r>
        <w:rPr>
          <w:rFonts w:ascii="Times New Roman" w:cs="Times New Roman" w:eastAsia="Times New Roman" w:hAnsi="Times New Roman"/>
          <w:sz w:val="24"/>
          <w:szCs w:val="24"/>
        </w:rPr>
        <w:t xml:space="preserve">A Member may transfer a Transferable Interest (distributional rights only) to: (a) a revocable living trust of which the Member is sole trustee and beneficiary; (b) a wholly-owned entity of the Member; or (c) an immediate family member (spouse, parent, or child), with thirty (30) days prior written notice. A permitted transferee receives only Transferable Interest rights under Utah Code Ann. § 48-3a-501 and does not become a Member unless admitted under Section 7.03.</w:t>
      </w:r>
    </w:p>
    <w:p>
      <w:pPr>
        <w:pStyle w:val="SH"/>
      </w:pPr>
      <w:r>
        <w:rPr>
          <w:rFonts w:ascii="Times New Roman" w:cs="Times New Roman" w:eastAsia="Times New Roman" w:hAnsi="Times New Roman"/>
          <w:b/>
          <w:bCs/>
          <w:sz w:val="24"/>
          <w:szCs w:val="24"/>
        </w:rPr>
        <w:t xml:space="preserve">7.03  Admission of Transferee as Member.</w:t>
      </w:r>
    </w:p>
    <w:p>
      <w:pPr>
        <w:pStyle w:val="BJ"/>
      </w:pPr>
      <w:r>
        <w:rPr>
          <w:rFonts w:ascii="Times New Roman" w:cs="Times New Roman" w:eastAsia="Times New Roman" w:hAnsi="Times New Roman"/>
          <w:sz w:val="24"/>
          <w:szCs w:val="24"/>
        </w:rPr>
        <w:t xml:space="preserve">OVERRIDE OF § 48-3a-401(3)(c) UNANIMOUS-CONSENT DEFAULT: Under Utah law, admission of a new member requires unanimous consent by default. This Agreement overrides that default: a transferee may be admitted as a Member upon: (a) approval by Members holding at least sixty-six and two-thirds percent (66.67%) of total ownership interests; (b) execution of a joinder agreement; and (c) payment of any reasonable admission fee. Until admitted, a transferee has only Transferable Interest rights under Utah Code Ann. § 48-3a-502 — no management rights, voting rights, or information rights.</w:t>
      </w:r>
    </w:p>
    <w:p>
      <w:pPr>
        <w:pStyle w:val="SH"/>
      </w:pPr>
      <w:r>
        <w:rPr>
          <w:rFonts w:ascii="Times New Roman" w:cs="Times New Roman" w:eastAsia="Times New Roman" w:hAnsi="Times New Roman"/>
          <w:b/>
          <w:bCs/>
          <w:sz w:val="24"/>
          <w:szCs w:val="24"/>
        </w:rPr>
        <w:t xml:space="preserve">7.04  Right of First Refusal.</w:t>
      </w:r>
    </w:p>
    <w:p>
      <w:pPr>
        <w:pStyle w:val="BJ"/>
      </w:pPr>
      <w:r>
        <w:rPr>
          <w:rFonts w:ascii="Times New Roman" w:cs="Times New Roman" w:eastAsia="Times New Roman" w:hAnsi="Times New Roman"/>
          <w:sz w:val="24"/>
          <w:szCs w:val="24"/>
        </w:rPr>
        <w:t xml:space="preserve">Before transferring any Membership Interest to a third party (other than a Permitted Transfer), the transferring Member must first offer the interest to the remaining Members pro rata at the same price and terms. The remaining Members have thirty (30) days to exercise this right by written notice. If not exercised, the transferring Member may proceed, subject to Section 7.01.</w:t>
      </w:r>
    </w:p>
    <w:p>
      <w:pPr>
        <w:pStyle w:val="SH"/>
      </w:pPr>
      <w:r>
        <w:rPr>
          <w:rFonts w:ascii="Times New Roman" w:cs="Times New Roman" w:eastAsia="Times New Roman" w:hAnsi="Times New Roman"/>
          <w:b/>
          <w:bCs/>
          <w:sz w:val="24"/>
          <w:szCs w:val="24"/>
        </w:rPr>
        <w:t xml:space="preserve">7.05  Charging Order — Exclusive Creditor Remedy.</w:t>
      </w:r>
    </w:p>
    <w:p>
      <w:pPr>
        <w:pStyle w:val="BJ"/>
      </w:pPr>
      <w:r>
        <w:rPr>
          <w:rFonts w:ascii="Times New Roman" w:cs="Times New Roman" w:eastAsia="Times New Roman" w:hAnsi="Times New Roman"/>
          <w:sz w:val="24"/>
          <w:szCs w:val="24"/>
        </w:rPr>
        <w:t xml:space="preserve">Pursuant to Utah Code Ann. § 48-3a-503, a charging order against a Member's Transferable Interest is the EXCLUSIVE remedy by which a judgment creditor may satisfy a judgment against a Member's interest. A creditor obtaining a charging order may only receive distributions payable to the Member. The charging order does not entitle the creditor to participate in management, vote, or obtain information rights. Foreclosure converts the creditor to a transferee with only Transferable Interest rights.</w:t>
      </w:r>
    </w:p>
    <w:p>
      <w:pPr>
        <w:pStyle w:val="SH"/>
      </w:pPr>
      <w:r>
        <w:rPr>
          <w:rFonts w:ascii="Times New Roman" w:cs="Times New Roman" w:eastAsia="Times New Roman" w:hAnsi="Times New Roman"/>
          <w:b/>
          <w:bCs/>
          <w:sz w:val="24"/>
          <w:szCs w:val="24"/>
        </w:rPr>
        <w:t xml:space="preserve">7.06  Death or Incapacity of a Member.</w:t>
      </w:r>
    </w:p>
    <w:p>
      <w:pPr>
        <w:pStyle w:val="BJ"/>
      </w:pPr>
      <w:r>
        <w:rPr>
          <w:rFonts w:ascii="Times New Roman" w:cs="Times New Roman" w:eastAsia="Times New Roman" w:hAnsi="Times New Roman"/>
          <w:sz w:val="24"/>
          <w:szCs w:val="24"/>
        </w:rPr>
        <w:t xml:space="preserve">Upon death or legal incapacity of a Member, the Transferable Interest passes to the estate or named beneficiary as a transferee under Utah Code Ann. § 48-3a-502. The estate or beneficiary may receive distributions but has no management or voting rights unless admitted under Section 7.03. The remaining Members shall within ninety (90) days either admit the transferee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voluntary notice of withdrawal; (b) expulsion under Section 8.05; (c) the Member's bankruptcy; or (d) the Member's death or legal incapacity.</w:t>
      </w:r>
    </w:p>
    <w:p>
      <w:pPr>
        <w:pStyle w:val="SH"/>
      </w:pPr>
      <w:r>
        <w:rPr>
          <w:rFonts w:ascii="Times New Roman" w:cs="Times New Roman" w:eastAsia="Times New Roman" w:hAnsi="Times New Roman"/>
          <w:b/>
          <w:bCs/>
          <w:sz w:val="24"/>
          <w:szCs w:val="24"/>
        </w:rPr>
        <w:t xml:space="preserve">8.02  Buyout of Dissociating Member.</w:t>
      </w:r>
    </w:p>
    <w:p>
      <w:pPr>
        <w:pStyle w:val="BJ"/>
      </w:pPr>
      <w:r>
        <w:rPr>
          <w:rFonts w:ascii="Times New Roman" w:cs="Times New Roman" w:eastAsia="Times New Roman" w:hAnsi="Times New Roman"/>
          <w:sz w:val="24"/>
          <w:szCs w:val="24"/>
        </w:rPr>
        <w:t xml:space="preserve">Upon a Member's dissociation, the Company or the remaining Members (at their election) shall have the right and obligation to purchase the dissociating Member's Transferable Interest at the price and on the terms specified in Sections 8.03 and 8.04.</w:t>
      </w:r>
    </w:p>
    <w:p>
      <w:pPr>
        <w:pStyle w:val="SH"/>
      </w:pPr>
      <w:r>
        <w:rPr>
          <w:rFonts w:ascii="Times New Roman" w:cs="Times New Roman" w:eastAsia="Times New Roman" w:hAnsi="Times New Roman"/>
          <w:b/>
          <w:bCs/>
          <w:sz w:val="24"/>
          <w:szCs w:val="24"/>
        </w:rPr>
        <w:t xml:space="preserve">8.03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8.04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in effect on the valuation date, evidenced by a promissory note.</w:t>
      </w:r>
    </w:p>
    <w:p>
      <w:pPr>
        <w:pStyle w:val="SH"/>
      </w:pPr>
      <w:r>
        <w:rPr>
          <w:rFonts w:ascii="Times New Roman" w:cs="Times New Roman" w:eastAsia="Times New Roman" w:hAnsi="Times New Roman"/>
          <w:b/>
          <w:bCs/>
          <w:sz w:val="24"/>
          <w:szCs w:val="24"/>
        </w:rPr>
        <w:t xml:space="preserve">8.05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of this Agreement not cured within thirty (30) days of written notice; (b) an event making it unlawful to continue business with the Member; or (c) judicial expulsion. An expelled Member's interest shall be purchased under Sections 8.02–8.04.</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UTAH CODE § 48-3a-701 (2024 AMENDMENT) NOTICE: Effective July 1, 2024, dissolution events may be set in either the Certificate of Organization or this Operating Agreement. If the two documents conflict, the Company faces a legal conflict under Utah law. The dissolution events below must be reviewed against the Certificate of Organization to ensure consistency. The Company shall be dissolved upon:</w:t>
      </w:r>
    </w:p>
    <w:p>
      <w:pPr>
        <w:pStyle w:val="BI"/>
      </w:pPr>
      <w:r>
        <w:rPr>
          <w:rFonts w:ascii="Times New Roman" w:cs="Times New Roman" w:eastAsia="Times New Roman" w:hAnsi="Times New Roman"/>
          <w:sz w:val="24"/>
          <w:szCs w:val="24"/>
        </w:rPr>
        <w:t xml:space="preserve">(a) Any dissolution event specified in the Certificate of Organization or this Agreement;</w:t>
      </w:r>
    </w:p>
    <w:p>
      <w:pPr>
        <w:pStyle w:val="BI"/>
      </w:pPr>
      <w:r>
        <w:rPr>
          <w:rFonts w:ascii="Times New Roman" w:cs="Times New Roman" w:eastAsia="Times New Roman" w:hAnsi="Times New Roman"/>
          <w:sz w:val="24"/>
          <w:szCs w:val="24"/>
        </w:rPr>
        <w:t xml:space="preserve">(b) The written consent of Members holding at least sixty-six and two-thirds percent (66.67%) of total ownership interests to dissolve;</w:t>
      </w:r>
    </w:p>
    <w:p>
      <w:pPr>
        <w:pStyle w:val="BI"/>
      </w:pPr>
      <w:r>
        <w:rPr>
          <w:rFonts w:ascii="Times New Roman" w:cs="Times New Roman" w:eastAsia="Times New Roman" w:hAnsi="Times New Roman"/>
          <w:sz w:val="24"/>
          <w:szCs w:val="24"/>
        </w:rPr>
        <w:t xml:space="preserve">(c) An event making it unlawful for all or substantially all of the Company's business to continue;</w:t>
      </w:r>
    </w:p>
    <w:p>
      <w:pPr>
        <w:pStyle w:val="BI"/>
      </w:pPr>
      <w:r>
        <w:rPr>
          <w:rFonts w:ascii="Times New Roman" w:cs="Times New Roman" w:eastAsia="Times New Roman" w:hAnsi="Times New Roman"/>
          <w:sz w:val="24"/>
          <w:szCs w:val="24"/>
        </w:rPr>
        <w:t xml:space="preserve">(d) A judicial decree of dissolution under Utah Code Ann. § 48-3a-701, upon finding that the economic purpose is likely to be unreasonably frustrated, that a Member has engaged in oppressive conduct, or that it is not reasonably practicable to continue the Company's business;</w:t>
      </w:r>
    </w:p>
    <w:p>
      <w:pPr>
        <w:pStyle w:val="BI"/>
      </w:pPr>
      <w:r>
        <w:rPr>
          <w:rFonts w:ascii="Times New Roman" w:cs="Times New Roman" w:eastAsia="Times New Roman" w:hAnsi="Times New Roman"/>
          <w:sz w:val="24"/>
          <w:szCs w:val="24"/>
        </w:rPr>
        <w:t xml:space="preserve">(e) Administrative dissolution for failure to file Annual Renewal under Utah Code Ann. § 48-3a-708.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Member, by a person appointed by a Utah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Utah Division of Corporations and Commercial Code to formally terminate the Company's existence.</w:t>
      </w:r>
    </w:p>
    <w:p>
      <w:pPr>
        <w:pStyle w:val="SH"/>
      </w:pPr>
      <w:r>
        <w:rPr>
          <w:rFonts w:ascii="Times New Roman" w:cs="Times New Roman" w:eastAsia="Times New Roman" w:hAnsi="Times New Roman"/>
          <w:b/>
          <w:bCs/>
          <w:sz w:val="24"/>
          <w:szCs w:val="24"/>
        </w:rPr>
        <w:t xml:space="preserve">9.04  Reinstatement After Administrative Dissolution.</w:t>
      </w:r>
    </w:p>
    <w:p>
      <w:pPr>
        <w:pStyle w:val="BJ"/>
      </w:pPr>
      <w:r>
        <w:rPr>
          <w:rFonts w:ascii="Times New Roman" w:cs="Times New Roman" w:eastAsia="Times New Roman" w:hAnsi="Times New Roman"/>
          <w:sz w:val="24"/>
          <w:szCs w:val="24"/>
        </w:rPr>
        <w:t xml:space="preserve">If administratively dissolved under § 48-3a-708 for failure to file the Annual Renewal, the Company may apply for reinstatement by filing delinquent Annual Renewal(s) and paying all fees and penalties. Upon reinstatement, the Company's existence is treated as if dissolution never occurred with respect to third parties.</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and Utah TC-65 partnership return)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Utah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Utah State Tax.</w:t>
      </w:r>
    </w:p>
    <w:p>
      <w:pPr>
        <w:pStyle w:val="BJ"/>
      </w:pPr>
      <w:r>
        <w:rPr>
          <w:rFonts w:ascii="Times New Roman" w:cs="Times New Roman" w:eastAsia="Times New Roman" w:hAnsi="Times New Roman"/>
          <w:sz w:val="24"/>
          <w:szCs w:val="24"/>
        </w:rPr>
        <w:t xml:space="preserve">Utah does not impose a franchise tax on LLCs taxed as disregarded entities or partnerships. Utah imposes state income tax on pass-through income for residents and on Utah-source income for non-residents. LLCs taxed as corporations are subject to Utah's corporate income tax.</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Utah Annual Renewal.</w:t>
      </w:r>
    </w:p>
    <w:p>
      <w:pPr>
        <w:pStyle w:val="BJ"/>
      </w:pPr>
      <w:r>
        <w:rPr>
          <w:rFonts w:ascii="Times New Roman" w:cs="Times New Roman" w:eastAsia="Times New Roman" w:hAnsi="Times New Roman"/>
          <w:sz w:val="24"/>
          <w:szCs w:val="24"/>
        </w:rPr>
        <w:t xml:space="preserve">The Company's Annual Renewal is due to the Utah Division of Corporations by the last day of the anniversary month of formation each year ($18 fee, current schedule). This is a separate compliance obligation from any tax filing. Failure to renew may result in administrative dissolution.</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that materially affect the Company's tax treatment shall be made by the Members by majority ownership vote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48-3a-407 UNANIMOUS-CONSENT DEFAULT: Under Utah law, OA amendments require unanimous consent of all Members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Operating Agreement shall be governed by and construed in accordance with the laws of the State of Utah, including Utah Code Title 48, Chapter 3a (the Act), without regard to conflict of law principles.</w:t>
      </w:r>
    </w:p>
    <w:p>
      <w:pPr>
        <w:pStyle w:val="SH"/>
      </w:pPr>
      <w:r>
        <w:rPr>
          <w:rFonts w:ascii="Times New Roman" w:cs="Times New Roman" w:eastAsia="Times New Roman" w:hAnsi="Times New Roman"/>
          <w:b/>
          <w:bCs/>
          <w:sz w:val="24"/>
          <w:szCs w:val="24"/>
        </w:rPr>
        <w:t xml:space="preserve">11.03  Consistency with Certificate of Organization.</w:t>
      </w:r>
    </w:p>
    <w:p>
      <w:pPr>
        <w:pStyle w:val="BJ"/>
      </w:pPr>
      <w:r>
        <w:rPr>
          <w:rFonts w:ascii="Times New Roman" w:cs="Times New Roman" w:eastAsia="Times New Roman" w:hAnsi="Times New Roman"/>
          <w:sz w:val="24"/>
          <w:szCs w:val="24"/>
        </w:rPr>
        <w:t xml:space="preserve">UTAH § 48-3a-701 (2024 AMENDMENT): Effective July 1, 2024, dissolution events may be set in either the Certificate of Organization or this Operating Agreement. The parties agree to promptly resolve any conflict between this Agreement and the Certificate of Organization, and to take all steps to align both documents.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pursuing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Utah (no mandatory mediation or arbitration).</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UTAH § 48-3a-102(16) ORAL/IMPLIED OA RISK: Utah Code Ann. § 48-3a-102(16) recognizes oral, implied, and written operating agreements as equally binding. This Section expressly negates that risk: THIS WRITTEN OPERATING AGREEMENT, together with the Certificate of Organization and all exhibits and amendments signed in writing, constitutes the ENTIRE, COMPLETE, AND EXCLUSIVE agreement of the Members and supersedes ALL prior and contemporaneous oral, implied, written, email, electronic, text-message, or other understandings and arrangements, regardless of form. No prior course of dealing, pattern of conduct, or oral statement shall be treated as part of this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The following table sets forth each Member's name, address, initial Capital Contribution, and ownership percentage. Distributions and voting are allocated in proportion to these ownership percentages, expressly overriding the equal-shares per-capita default of Utah Code Ann. § 48-3a-404.</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Utah LLC Operating Agreement template is provided by Boost Suite for informational and general reference purposes only. It does not constitute legal advice and does not create an attorney-client relationship. This template is based on the Utah Revised Uniform Limited Liability Company Act, Utah Code Title 48, Chapter 3a, including the 2024 amendment to § 48-3a-701 (dissolution events). Laws may change after publication. Utah's recognition of oral and implied operating agreements under § 48-3a-102(16) makes legal review particularly important for multi-member LLCs. You should consult a licensed Utah attorney before executing this Agreement. The Utah State Bar Lawyer Referral Service (utahbar.org) can connect you with a licensed Utah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Utah LLC Resources:</w:t>
      </w:r>
    </w:p>
    <w:p>
      <w:pPr>
        <w:pStyle w:val="BJ"/>
      </w:pPr>
      <w:r>
        <w:rPr>
          <w:rFonts w:ascii="Times New Roman" w:cs="Times New Roman" w:eastAsia="Times New Roman" w:hAnsi="Times New Roman"/>
          <w:sz w:val="22"/>
          <w:szCs w:val="22"/>
        </w:rPr>
        <w:t xml:space="preserve">→ </w:t>
      </w:r>
      <w:hyperlink w:history="1" r:id="rIdwbel1klo7cpdijlswvd2l">
        <w:r>
          <w:rPr>
            <w:rStyle w:val="Hyperlink"/>
            <w:rFonts w:ascii="Times New Roman" w:cs="Times New Roman" w:eastAsia="Times New Roman" w:hAnsi="Times New Roman"/>
            <w:color w:val="1155CC"/>
            <w:sz w:val="22"/>
            <w:szCs w:val="22"/>
            <w:u w:val="single"/>
          </w:rPr>
          <w:t xml:space="preserve">boostsuite.com/llc-operating-agreement/utah/</w:t>
        </w:r>
      </w:hyperlink>
    </w:p>
    <w:p>
      <w:pPr>
        <w:pStyle w:val="BJ"/>
      </w:pPr>
      <w:r>
        <w:rPr>
          <w:rFonts w:ascii="Times New Roman" w:cs="Times New Roman" w:eastAsia="Times New Roman" w:hAnsi="Times New Roman"/>
          <w:sz w:val="22"/>
          <w:szCs w:val="22"/>
        </w:rPr>
        <w:t xml:space="preserve">→ </w:t>
      </w:r>
      <w:hyperlink w:history="1" r:id="rIdr3ytd48o5dherp9qtomhf">
        <w:r>
          <w:rPr>
            <w:rStyle w:val="Hyperlink"/>
            <w:rFonts w:ascii="Times New Roman" w:cs="Times New Roman" w:eastAsia="Times New Roman" w:hAnsi="Times New Roman"/>
            <w:color w:val="1155CC"/>
            <w:sz w:val="22"/>
            <w:szCs w:val="22"/>
            <w:u w:val="single"/>
          </w:rPr>
          <w:t xml:space="preserve">boostsuite.com/how-to-start-an-llc/utah/</w:t>
        </w:r>
      </w:hyperlink>
    </w:p>
    <w:p>
      <w:pPr>
        <w:pStyle w:val="BJ"/>
      </w:pPr>
      <w:r>
        <w:rPr>
          <w:rFonts w:ascii="Times New Roman" w:cs="Times New Roman" w:eastAsia="Times New Roman" w:hAnsi="Times New Roman"/>
          <w:sz w:val="22"/>
          <w:szCs w:val="22"/>
        </w:rPr>
        <w:t xml:space="preserve">→ </w:t>
      </w:r>
      <w:hyperlink w:history="1" r:id="rIdflca9tyzan6ei5bmclfyg">
        <w:r>
          <w:rPr>
            <w:rStyle w:val="Hyperlink"/>
            <w:rFonts w:ascii="Times New Roman" w:cs="Times New Roman" w:eastAsia="Times New Roman" w:hAnsi="Times New Roman"/>
            <w:color w:val="1155CC"/>
            <w:sz w:val="22"/>
            <w:szCs w:val="22"/>
            <w:u w:val="single"/>
          </w:rPr>
          <w:t xml:space="preserve">boostsuite.com/how-to-start-an-llc/cost/utah/</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wbel1klo7cpdijlswvd2l" Type="http://schemas.openxmlformats.org/officeDocument/2006/relationships/hyperlink" Target="https://boostsuite.com/llc-operating-agreement/utah/" TargetMode="External"/><Relationship Id="rIdr3ytd48o5dherp9qtomhf" Type="http://schemas.openxmlformats.org/officeDocument/2006/relationships/hyperlink" Target="https://boostsuite.com/how-to-start-an-llc/utah/" TargetMode="External"/><Relationship Id="rIdflca9tyzan6ei5bmclfyg" Type="http://schemas.openxmlformats.org/officeDocument/2006/relationships/hyperlink" Target="https://boostsuite.com/how-to-start-an-llc/cost/utah/"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2026-04-29T04:01:02.112Z</dcterms:created>
  <dcterms:modified xsi:type="dcterms:W3CDTF">2026-04-29T04:01:02.112Z</dcterms:modified>
</cp:coreProperties>
</file>

<file path=docProps/custom.xml><?xml version="1.0" encoding="utf-8"?>
<Properties xmlns="http://schemas.openxmlformats.org/officeDocument/2006/custom-properties" xmlns:vt="http://schemas.openxmlformats.org/officeDocument/2006/docPropsVTypes"/>
</file>