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SOUTH DAKOTA LIMITED LIABILITY COMPANY</w:t>
      </w:r>
    </w:p>
    <w:p>
      <w:pPr>
        <w:spacing w:after="40" w:before="40"/>
        <w:jc w:val="center"/>
      </w:pPr>
      <w:r>
        <w:rPr>
          <w:rFonts w:ascii="Times New Roman" w:cs="Times New Roman" w:eastAsia="Times New Roman" w:hAnsi="Times New Roman"/>
          <w:b/>
          <w:bCs/>
          <w:sz w:val="28"/>
          <w:szCs w:val="28"/>
        </w:rPr>
        <w:t xml:space="preserve">SINGLE-MEMBER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South Dakota Uniform Limited Liability Company Act, SDCL Title 47, Chapter 34A</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is organized under the South Dakota Uniform Limited Liability Company Act, Title 47, Chapter 34A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South Dakota Secretary of State under SDCL § 47-34A-203. Filing fee: </w:t>
      </w:r>
      <w:r>
        <w:rPr>
          <w:rFonts w:ascii="Times New Roman" w:cs="Times New Roman" w:eastAsia="Times New Roman" w:hAnsi="Times New Roman"/>
          <w:b/>
          <w:bCs/>
          <w:i w:val="false"/>
          <w:iCs w:val="false"/>
          <w:color w:val="000000"/>
          <w:sz w:val="24"/>
          <w:szCs w:val="24"/>
        </w:rPr>
        <w:t xml:space="preserve">$150 online; $165 by mail</w:t>
      </w:r>
      <w:r>
        <w:rPr>
          <w:rFonts w:ascii="Times New Roman" w:cs="Times New Roman" w:eastAsia="Times New Roman" w:hAnsi="Times New Roman"/>
          <w:b w:val="false"/>
          <w:bCs w:val="false"/>
          <w:i w:val="false"/>
          <w:iCs w:val="false"/>
          <w:color w:val="000000"/>
          <w:sz w:val="24"/>
          <w:szCs w:val="24"/>
        </w:rPr>
        <w:t xml:space="preserve"> (includes $15 paper surcharge). This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1.04  Operating Agreement — Need Not Be in Writing.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47-34A-103(a)</w:t>
      </w:r>
      <w:r>
        <w:rPr>
          <w:rFonts w:ascii="Times New Roman" w:cs="Times New Roman" w:eastAsia="Times New Roman" w:hAnsi="Times New Roman"/>
          <w:b w:val="false"/>
          <w:bCs w:val="false"/>
          <w:i w:val="false"/>
          <w:iCs w:val="false"/>
          <w:color w:val="000000"/>
          <w:sz w:val="24"/>
          <w:szCs w:val="24"/>
        </w:rPr>
        <w:t xml:space="preserve">, the operating agreement </w:t>
      </w:r>
      <w:r>
        <w:rPr>
          <w:rFonts w:ascii="Times New Roman" w:cs="Times New Roman" w:eastAsia="Times New Roman" w:hAnsi="Times New Roman"/>
          <w:b/>
          <w:bCs/>
          <w:i w:val="false"/>
          <w:iCs w:val="false"/>
          <w:color w:val="000000"/>
          <w:sz w:val="24"/>
          <w:szCs w:val="24"/>
        </w:rPr>
        <w:t xml:space="preserve">"need not be in writing."</w:t>
      </w:r>
      <w:r>
        <w:rPr>
          <w:rFonts w:ascii="Times New Roman" w:cs="Times New Roman" w:eastAsia="Times New Roman" w:hAnsi="Times New Roman"/>
          <w:b w:val="false"/>
          <w:bCs w:val="false"/>
          <w:i w:val="false"/>
          <w:iCs w:val="false"/>
          <w:color w:val="000000"/>
          <w:sz w:val="24"/>
          <w:szCs w:val="24"/>
        </w:rPr>
        <w:t xml:space="preserve"> Oral and implied agreements are legally recognized. The SOS confirms that LLC operating agreements are internal company documents and are </w:t>
      </w:r>
      <w:r>
        <w:rPr>
          <w:rFonts w:ascii="Times New Roman" w:cs="Times New Roman" w:eastAsia="Times New Roman" w:hAnsi="Times New Roman"/>
          <w:b/>
          <w:bCs/>
          <w:i w:val="false"/>
          <w:iCs w:val="false"/>
          <w:color w:val="000000"/>
          <w:sz w:val="24"/>
          <w:szCs w:val="24"/>
        </w:rPr>
        <w:t xml:space="preserve">NEVER filed with the Secretary of State</w:t>
      </w:r>
      <w:r>
        <w:rPr>
          <w:rFonts w:ascii="Times New Roman" w:cs="Times New Roman" w:eastAsia="Times New Roman" w:hAnsi="Times New Roman"/>
          <w:b w:val="false"/>
          <w:bCs w:val="false"/>
          <w:i w:val="false"/>
          <w:iCs w:val="false"/>
          <w:color w:val="000000"/>
          <w:sz w:val="24"/>
          <w:szCs w:val="24"/>
        </w:rPr>
        <w:t xml:space="preserve">. This Agreement is adopted in WRITTEN form for evidentiary clarity, banking, and enforceability.</w:t>
      </w:r>
    </w:p>
    <w:p>
      <w:pPr>
        <w:spacing w:after="60" w:before="120" w:line="276" w:lineRule="auto"/>
      </w:pPr>
      <w:r>
        <w:rPr>
          <w:rFonts w:ascii="Times New Roman" w:cs="Times New Roman" w:eastAsia="Times New Roman" w:hAnsi="Times New Roman"/>
          <w:b/>
          <w:bCs/>
          <w:color w:val="000000"/>
          <w:sz w:val="24"/>
          <w:szCs w:val="24"/>
        </w:rPr>
        <w:t xml:space="preserve">1.05  Single-Member Enforceability.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South Dakota law expressly states that a single-member operating agreement is </w:t>
      </w:r>
      <w:r>
        <w:rPr>
          <w:rFonts w:ascii="Times New Roman" w:cs="Times New Roman" w:eastAsia="Times New Roman" w:hAnsi="Times New Roman"/>
          <w:b/>
          <w:bCs/>
          <w:i w:val="false"/>
          <w:iCs w:val="false"/>
          <w:color w:val="000000"/>
          <w:sz w:val="24"/>
          <w:szCs w:val="24"/>
        </w:rPr>
        <w:t xml:space="preserve">NOT UNENFORCEABLE</w:t>
      </w:r>
      <w:r>
        <w:rPr>
          <w:rFonts w:ascii="Times New Roman" w:cs="Times New Roman" w:eastAsia="Times New Roman" w:hAnsi="Times New Roman"/>
          <w:b w:val="false"/>
          <w:bCs w:val="false"/>
          <w:i w:val="false"/>
          <w:iCs w:val="false"/>
          <w:color w:val="000000"/>
          <w:sz w:val="24"/>
          <w:szCs w:val="24"/>
        </w:rPr>
        <w:t xml:space="preserve"> by reason of having only one person who is a party to it. This Agreement is valid and binding whether signed by one member or more.</w:t>
      </w:r>
    </w:p>
    <w:p>
      <w:pPr>
        <w:spacing w:after="60" w:before="120" w:line="276" w:lineRule="auto"/>
      </w:pPr>
      <w:r>
        <w:rPr>
          <w:rFonts w:ascii="Times New Roman" w:cs="Times New Roman" w:eastAsia="Times New Roman" w:hAnsi="Times New Roman"/>
          <w:b/>
          <w:bCs/>
          <w:color w:val="000000"/>
          <w:sz w:val="24"/>
          <w:szCs w:val="24"/>
        </w:rPr>
        <w:t xml:space="preserve">1.06  Non-Overridable Provisions (§ 47-34A-103(b)).</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NOT eliminate: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The duty of loyalty (</w:t>
      </w:r>
      <w:r>
        <w:rPr>
          <w:rFonts w:ascii="Times New Roman" w:cs="Times New Roman" w:eastAsia="Times New Roman" w:hAnsi="Times New Roman"/>
          <w:b/>
          <w:bCs/>
          <w:i w:val="false"/>
          <w:iCs w:val="false"/>
          <w:color w:val="000000"/>
          <w:sz w:val="24"/>
          <w:szCs w:val="24"/>
        </w:rPr>
        <w:t xml:space="preserve">SDCL § 47-34A-409</w:t>
      </w:r>
      <w:r>
        <w:rPr>
          <w:rFonts w:ascii="Times New Roman" w:cs="Times New Roman" w:eastAsia="Times New Roman" w:hAnsi="Times New Roman"/>
          <w:b w:val="false"/>
          <w:bCs w:val="false"/>
          <w:i w:val="false"/>
          <w:iCs w:val="false"/>
          <w:color w:val="000000"/>
          <w:sz w:val="24"/>
          <w:szCs w:val="24"/>
        </w:rPr>
        <w:t xml:space="preserve">), though it may identify categories of permitted activities and approval mechanisms if not manifestly unreasonable.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The obligation of good faith and fair dealing, though it may set standards for performance if not manifestly unreasonable.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The right to expel a member in circumstances specified in </w:t>
      </w:r>
      <w:r>
        <w:rPr>
          <w:rFonts w:ascii="Times New Roman" w:cs="Times New Roman" w:eastAsia="Times New Roman" w:hAnsi="Times New Roman"/>
          <w:b/>
          <w:bCs/>
          <w:i w:val="false"/>
          <w:iCs w:val="false"/>
          <w:color w:val="000000"/>
          <w:sz w:val="24"/>
          <w:szCs w:val="24"/>
        </w:rPr>
        <w:t xml:space="preserve">SDCL § 47-34A-601(6)</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The duty to wind up in cases under </w:t>
      </w:r>
      <w:r>
        <w:rPr>
          <w:rFonts w:ascii="Times New Roman" w:cs="Times New Roman" w:eastAsia="Times New Roman" w:hAnsi="Times New Roman"/>
          <w:b/>
          <w:bCs/>
          <w:i w:val="false"/>
          <w:iCs w:val="false"/>
          <w:color w:val="000000"/>
          <w:sz w:val="24"/>
          <w:szCs w:val="24"/>
        </w:rPr>
        <w:t xml:space="preserve">SDCL § 47-34A-801(a)(3) and (4)</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Rights of non-members (third parties) granted by the Act.</w:t>
      </w:r>
    </w:p>
    <w:p>
      <w:pPr>
        <w:spacing w:after="60" w:before="120" w:line="276" w:lineRule="auto"/>
      </w:pPr>
      <w:r>
        <w:rPr>
          <w:rFonts w:ascii="Times New Roman" w:cs="Times New Roman" w:eastAsia="Times New Roman" w:hAnsi="Times New Roman"/>
          <w:b/>
          <w:bCs/>
          <w:color w:val="000000"/>
          <w:sz w:val="24"/>
          <w:szCs w:val="24"/>
        </w:rPr>
        <w:t xml:space="preserve">1.07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47-34A-203</w:t>
      </w:r>
      <w:r>
        <w:rPr>
          <w:rFonts w:ascii="Times New Roman" w:cs="Times New Roman" w:eastAsia="Times New Roman" w:hAnsi="Times New Roman"/>
          <w:b w:val="false"/>
          <w:bCs w:val="false"/>
          <w:i w:val="false"/>
          <w:iCs w:val="false"/>
          <w:color w:val="000000"/>
          <w:sz w:val="24"/>
          <w:szCs w:val="24"/>
        </w:rPr>
        <w:t xml:space="preserve">, the Company must maintain a registered agent with a physical address in South Dakota. The South Dakota Model Registered Agents Act (MRAA) applies.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[Physical street, City, SD ZIP]</w:t>
      </w:r>
    </w:p>
    <w:p>
      <w:pPr>
        <w:spacing w:after="60" w:before="120" w:line="276" w:lineRule="auto"/>
      </w:pPr>
      <w:r>
        <w:rPr>
          <w:rFonts w:ascii="Times New Roman" w:cs="Times New Roman" w:eastAsia="Times New Roman" w:hAnsi="Times New Roman"/>
          <w:b/>
          <w:bCs/>
          <w:color w:val="000000"/>
          <w:sz w:val="24"/>
          <w:szCs w:val="24"/>
        </w:rPr>
        <w:t xml:space="preserve">1.08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SD ZIP]</w:t>
      </w:r>
    </w:p>
    <w:p>
      <w:pPr>
        <w:spacing w:after="60" w:before="120" w:line="276" w:lineRule="auto"/>
      </w:pPr>
      <w:r>
        <w:rPr>
          <w:rFonts w:ascii="Times New Roman" w:cs="Times New Roman" w:eastAsia="Times New Roman" w:hAnsi="Times New Roman"/>
          <w:b/>
          <w:bCs/>
          <w:color w:val="000000"/>
          <w:sz w:val="24"/>
          <w:szCs w:val="24"/>
        </w:rPr>
        <w:t xml:space="preserve">1.09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1.10  Annual Report.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47-34A-211</w:t>
      </w:r>
      <w:r>
        <w:rPr>
          <w:rFonts w:ascii="Times New Roman" w:cs="Times New Roman" w:eastAsia="Times New Roman" w:hAnsi="Times New Roman"/>
          <w:b w:val="false"/>
          <w:bCs w:val="false"/>
          <w:i w:val="false"/>
          <w:iCs w:val="false"/>
          <w:color w:val="000000"/>
          <w:sz w:val="24"/>
          <w:szCs w:val="24"/>
        </w:rPr>
        <w:t xml:space="preserve">, every South Dakota LLC must file an annual report. Current fees (as of July 1, 2025): </w:t>
      </w:r>
      <w:r>
        <w:rPr>
          <w:rFonts w:ascii="Times New Roman" w:cs="Times New Roman" w:eastAsia="Times New Roman" w:hAnsi="Times New Roman"/>
          <w:b/>
          <w:bCs/>
          <w:i w:val="false"/>
          <w:iCs w:val="false"/>
          <w:color w:val="000000"/>
          <w:sz w:val="24"/>
          <w:szCs w:val="24"/>
        </w:rPr>
        <w:t xml:space="preserve">$55 online; $70 by mail</w:t>
      </w:r>
      <w:r>
        <w:rPr>
          <w:rFonts w:ascii="Times New Roman" w:cs="Times New Roman" w:eastAsia="Times New Roman" w:hAnsi="Times New Roman"/>
          <w:b w:val="false"/>
          <w:bCs w:val="false"/>
          <w:i w:val="false"/>
          <w:iCs w:val="false"/>
          <w:color w:val="000000"/>
          <w:sz w:val="24"/>
          <w:szCs w:val="24"/>
        </w:rPr>
        <w:t xml:space="preserve">. Late fee: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Reinstatement fee: </w:t>
      </w:r>
      <w:r>
        <w:rPr>
          <w:rFonts w:ascii="Times New Roman" w:cs="Times New Roman" w:eastAsia="Times New Roman" w:hAnsi="Times New Roman"/>
          <w:b/>
          <w:bCs/>
          <w:i w:val="false"/>
          <w:iCs w:val="false"/>
          <w:color w:val="000000"/>
          <w:sz w:val="24"/>
          <w:szCs w:val="24"/>
        </w:rPr>
        <w:t xml:space="preserve">$150</w:t>
      </w:r>
      <w:r>
        <w:rPr>
          <w:rFonts w:ascii="Times New Roman" w:cs="Times New Roman" w:eastAsia="Times New Roman" w:hAnsi="Times New Roman"/>
          <w:b w:val="false"/>
          <w:bCs w:val="false"/>
          <w:i w:val="false"/>
          <w:iCs w:val="false"/>
          <w:color w:val="000000"/>
          <w:sz w:val="24"/>
          <w:szCs w:val="24"/>
        </w:rPr>
        <w:t xml:space="preserve"> plus delinquent reports. [VERIFY due date directly with the SOS Business Search for your entity.]</w:t>
      </w:r>
    </w:p>
    <w:p>
      <w:pPr>
        <w:spacing w:after="60" w:before="120" w:line="276" w:lineRule="auto"/>
      </w:pPr>
      <w:r>
        <w:rPr>
          <w:rFonts w:ascii="Times New Roman" w:cs="Times New Roman" w:eastAsia="Times New Roman" w:hAnsi="Times New Roman"/>
          <w:b/>
          <w:bCs/>
          <w:color w:val="000000"/>
          <w:sz w:val="24"/>
          <w:szCs w:val="24"/>
        </w:rPr>
        <w:t xml:space="preserve">1.11  Tax Environment.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South Dakota has </w:t>
      </w:r>
      <w:r>
        <w:rPr>
          <w:rFonts w:ascii="Times New Roman" w:cs="Times New Roman" w:eastAsia="Times New Roman" w:hAnsi="Times New Roman"/>
          <w:b/>
          <w:bCs/>
          <w:i w:val="false"/>
          <w:iCs w:val="false"/>
          <w:color w:val="000000"/>
          <w:sz w:val="24"/>
          <w:szCs w:val="24"/>
        </w:rPr>
        <w:t xml:space="preserve">NO state personal income tax</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NO state corporate income tax</w:t>
      </w:r>
      <w:r>
        <w:rPr>
          <w:rFonts w:ascii="Times New Roman" w:cs="Times New Roman" w:eastAsia="Times New Roman" w:hAnsi="Times New Roman"/>
          <w:b w:val="false"/>
          <w:bCs w:val="false"/>
          <w:i w:val="false"/>
          <w:iCs w:val="false"/>
          <w:color w:val="000000"/>
          <w:sz w:val="24"/>
          <w:szCs w:val="24"/>
        </w:rPr>
        <w:t xml:space="preserve">. There is NO state franchise tax on LLCs. Ongoing state-level obligations focus on: (a) the annual report to the SOS; and (b) transaction-based taxes (sales and use tax, contractor excise, etc.) administered by the SD Department of Revenue where applicable. Federal classification: disregarded entity (single-member) or partnership (multi-member) by default; corporate treatment via Form 8832 or Form 2553.</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FinCEN BOI: domestic U.S. entities, including domestic South Dakota LLCs, are currently </w:t>
      </w:r>
      <w:r>
        <w:rPr>
          <w:rFonts w:ascii="Times New Roman" w:cs="Times New Roman" w:eastAsia="Times New Roman" w:hAnsi="Times New Roman"/>
          <w:b/>
          <w:bCs/>
          <w:i w:val="false"/>
          <w:iCs w:val="false"/>
          <w:color w:val="000000"/>
          <w:sz w:val="24"/>
          <w:szCs w:val="24"/>
        </w:rPr>
        <w:t xml:space="preserve">EXEMPT</w:t>
      </w:r>
      <w:r>
        <w:rPr>
          <w:rFonts w:ascii="Times New Roman" w:cs="Times New Roman" w:eastAsia="Times New Roman" w:hAnsi="Times New Roman"/>
          <w:b w:val="false"/>
          <w:bCs w:val="false"/>
          <w:i w:val="false"/>
          <w:iCs w:val="false"/>
          <w:color w:val="000000"/>
          <w:sz w:val="24"/>
          <w:szCs w:val="24"/>
        </w:rPr>
        <w:t xml:space="preserve"> from BOI reporting under the March 2025 interim final rule. Foreign entities should verify at fincen.gov/boi.</w:t>
      </w:r>
    </w:p>
    <w:p>
      <w:pPr>
        <w:spacing w:after="60" w:before="120" w:line="276" w:lineRule="auto"/>
      </w:pPr>
      <w:r>
        <w:rPr>
          <w:rFonts w:ascii="Times New Roman" w:cs="Times New Roman" w:eastAsia="Times New Roman" w:hAnsi="Times New Roman"/>
          <w:b/>
          <w:bCs/>
          <w:color w:val="000000"/>
          <w:sz w:val="24"/>
          <w:szCs w:val="24"/>
        </w:rPr>
        <w:t xml:space="preserve">1.12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South Dakota does NOT impose a newspaper publication requirement for forming or maintaining a domestic LLC.</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South Dakota Uniform Limited Liability Company Act, Title 47, Chapter 34A,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w:t>
      </w:r>
      <w:r>
        <w:rPr>
          <w:rFonts w:ascii="Times New Roman" w:cs="Times New Roman" w:eastAsia="Times New Roman" w:hAnsi="Times New Roman"/>
          <w:b/>
          <w:bCs/>
          <w:i w:val="false"/>
          <w:iCs w:val="false"/>
          <w:color w:val="000000"/>
          <w:sz w:val="24"/>
          <w:szCs w:val="24"/>
        </w:rPr>
        <w:t xml:space="preserve">South Dakota Secretary of State</w:t>
      </w:r>
      <w:r>
        <w:rPr>
          <w:rFonts w:ascii="Times New Roman" w:cs="Times New Roman" w:eastAsia="Times New Roman" w:hAnsi="Times New Roman"/>
          <w:b w:val="false"/>
          <w:bCs w:val="false"/>
          <w:i w:val="false"/>
          <w:iCs w:val="false"/>
          <w:color w:val="000000"/>
          <w:sz w:val="24"/>
          <w:szCs w:val="24"/>
        </w:rPr>
        <w:t xml:space="preserve"> under SDCL § 47-34A-203,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interest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"Distributional Interest" means the economic right to receive distributions under </w:t>
      </w:r>
      <w:r>
        <w:rPr>
          <w:rFonts w:ascii="Times New Roman" w:cs="Times New Roman" w:eastAsia="Times New Roman" w:hAnsi="Times New Roman"/>
          <w:b/>
          <w:bCs/>
          <w:i w:val="false"/>
          <w:iCs w:val="false"/>
          <w:color w:val="000000"/>
          <w:sz w:val="24"/>
          <w:szCs w:val="24"/>
        </w:rPr>
        <w:t xml:space="preserve">SDCL § 47-34A-503</w:t>
      </w:r>
      <w:r>
        <w:rPr>
          <w:rFonts w:ascii="Times New Roman" w:cs="Times New Roman" w:eastAsia="Times New Roman" w:hAnsi="Times New Roman"/>
          <w:b w:val="false"/>
          <w:bCs w:val="false"/>
          <w:i w:val="false"/>
          <w:iCs w:val="false"/>
          <w:color w:val="000000"/>
          <w:sz w:val="24"/>
          <w:szCs w:val="24"/>
        </w:rPr>
        <w:t xml:space="preserve">. Transfer of a distributional interest does NOT automatically confer member status or management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"Charging Order" means the </w:t>
      </w:r>
      <w:r>
        <w:rPr>
          <w:rFonts w:ascii="Times New Roman" w:cs="Times New Roman" w:eastAsia="Times New Roman" w:hAnsi="Times New Roman"/>
          <w:b/>
          <w:bCs/>
          <w:i w:val="false"/>
          <w:iCs w:val="false"/>
          <w:color w:val="000000"/>
          <w:sz w:val="24"/>
          <w:szCs w:val="24"/>
        </w:rPr>
        <w:t xml:space="preserve">EXCLUSIVE REMEDY</w:t>
      </w:r>
      <w:r>
        <w:rPr>
          <w:rFonts w:ascii="Times New Roman" w:cs="Times New Roman" w:eastAsia="Times New Roman" w:hAnsi="Times New Roman"/>
          <w:b w:val="false"/>
          <w:bCs w:val="false"/>
          <w:i w:val="false"/>
          <w:iCs w:val="false"/>
          <w:color w:val="000000"/>
          <w:sz w:val="24"/>
          <w:szCs w:val="24"/>
        </w:rPr>
        <w:t xml:space="preserve"> under </w:t>
      </w:r>
      <w:r>
        <w:rPr>
          <w:rFonts w:ascii="Times New Roman" w:cs="Times New Roman" w:eastAsia="Times New Roman" w:hAnsi="Times New Roman"/>
          <w:b/>
          <w:bCs/>
          <w:i w:val="false"/>
          <w:iCs w:val="false"/>
          <w:color w:val="000000"/>
          <w:sz w:val="24"/>
          <w:szCs w:val="24"/>
        </w:rPr>
        <w:t xml:space="preserve">SDCL § 47-34A-504</w:t>
      </w:r>
      <w:r>
        <w:rPr>
          <w:rFonts w:ascii="Times New Roman" w:cs="Times New Roman" w:eastAsia="Times New Roman" w:hAnsi="Times New Roman"/>
          <w:b w:val="false"/>
          <w:bCs w:val="false"/>
          <w:i w:val="false"/>
          <w:iCs w:val="false"/>
          <w:color w:val="000000"/>
          <w:sz w:val="24"/>
          <w:szCs w:val="24"/>
        </w:rPr>
        <w:t xml:space="preserve"> for a judgment creditor to reach a member's distributional interest. A charging-order holder receives distributions only and gains no management or member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"Excluded Manager" means a manager designated under </w:t>
      </w:r>
      <w:r>
        <w:rPr>
          <w:rFonts w:ascii="Times New Roman" w:cs="Times New Roman" w:eastAsia="Times New Roman" w:hAnsi="Times New Roman"/>
          <w:b/>
          <w:bCs/>
          <w:i w:val="false"/>
          <w:iCs w:val="false"/>
          <w:color w:val="000000"/>
          <w:sz w:val="24"/>
          <w:szCs w:val="24"/>
        </w:rPr>
        <w:t xml:space="preserve">SDCL § 47-34A-304</w:t>
      </w:r>
      <w:r>
        <w:rPr>
          <w:rFonts w:ascii="Times New Roman" w:cs="Times New Roman" w:eastAsia="Times New Roman" w:hAnsi="Times New Roman"/>
          <w:b w:val="false"/>
          <w:bCs w:val="false"/>
          <w:i w:val="false"/>
          <w:iCs w:val="false"/>
          <w:color w:val="000000"/>
          <w:sz w:val="24"/>
          <w:szCs w:val="24"/>
        </w:rPr>
        <w:t xml:space="preserve"> (added by HB 1106, 2023) whose duties are limited as specified in this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and Ownership Interest are in Exhibit 1. Contributions may be cash, property, or services with an agreed valuation stated in Exhibit 1 (consistent with SDCL § 47-34A-405).</w:t>
      </w:r>
    </w:p>
    <w:p>
      <w:pPr>
        <w:spacing w:after="60" w:before="120" w:line="276" w:lineRule="auto"/>
      </w:pPr>
      <w:r>
        <w:rPr>
          <w:rFonts w:ascii="Times New Roman" w:cs="Times New Roman" w:eastAsia="Times New Roman" w:hAnsi="Times New Roman"/>
          <w:b/>
          <w:bCs/>
          <w:color w:val="000000"/>
          <w:sz w:val="24"/>
          <w:szCs w:val="24"/>
        </w:rPr>
        <w:t xml:space="preserve">III.02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III.03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III.04  No Remuneration.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remuneration for services solely by reason of being a Member, unless this Agreement separately provides.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consistent with </w:t>
      </w:r>
      <w:r>
        <w:rPr>
          <w:rFonts w:ascii="Times New Roman" w:cs="Times New Roman" w:eastAsia="Times New Roman" w:hAnsi="Times New Roman"/>
          <w:b/>
          <w:bCs/>
          <w:i w:val="false"/>
          <w:iCs w:val="false"/>
          <w:color w:val="000000"/>
          <w:sz w:val="24"/>
          <w:szCs w:val="24"/>
        </w:rPr>
        <w:t xml:space="preserve">SDCL § 47-34A-405</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declared by the Authorized Persons and allocated in proportion to each Member's Ownership Interest.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Restrictions on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47-34A-405 and 47-34A-406</w:t>
      </w:r>
      <w:r>
        <w:rPr>
          <w:rFonts w:ascii="Times New Roman" w:cs="Times New Roman" w:eastAsia="Times New Roman" w:hAnsi="Times New Roman"/>
          <w:b w:val="false"/>
          <w:bCs w:val="false"/>
          <w:i w:val="false"/>
          <w:iCs w:val="false"/>
          <w:color w:val="000000"/>
          <w:sz w:val="24"/>
          <w:szCs w:val="24"/>
        </w:rPr>
        <w:t xml:space="preserve">, no distribution may be made if, after the distribution, the Company would be unable to pay its debts as they become due in the ordinary course. Members or managers who approve an improper distribution face </w:t>
      </w:r>
      <w:r>
        <w:rPr>
          <w:rFonts w:ascii="Times New Roman" w:cs="Times New Roman" w:eastAsia="Times New Roman" w:hAnsi="Times New Roman"/>
          <w:b/>
          <w:bCs/>
          <w:i w:val="false"/>
          <w:iCs w:val="false"/>
          <w:color w:val="000000"/>
          <w:sz w:val="24"/>
          <w:szCs w:val="24"/>
        </w:rPr>
        <w:t xml:space="preserve">strict personal liability</w:t>
      </w:r>
      <w:r>
        <w:rPr>
          <w:rFonts w:ascii="Times New Roman" w:cs="Times New Roman" w:eastAsia="Times New Roman" w:hAnsi="Times New Roman"/>
          <w:b w:val="false"/>
          <w:bCs w:val="false"/>
          <w:i w:val="false"/>
          <w:iCs w:val="false"/>
          <w:color w:val="000000"/>
          <w:sz w:val="24"/>
          <w:szCs w:val="24"/>
        </w:rPr>
        <w:t xml:space="preserve"> under § 47-34A-406.</w:t>
      </w:r>
    </w:p>
    <w:p>
      <w:pPr>
        <w:spacing w:after="60" w:before="120" w:line="276" w:lineRule="auto"/>
      </w:pPr>
      <w:r>
        <w:rPr>
          <w:rFonts w:ascii="Times New Roman" w:cs="Times New Roman" w:eastAsia="Times New Roman" w:hAnsi="Times New Roman"/>
          <w:b/>
          <w:bCs/>
          <w:color w:val="000000"/>
          <w:sz w:val="24"/>
          <w:szCs w:val="24"/>
        </w:rPr>
        <w:t xml:space="preserve">IV.04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federal income tax liability attributable to Company income, before any discretionary distributions. NOTE: </w:t>
      </w:r>
      <w:r>
        <w:rPr>
          <w:rFonts w:ascii="Times New Roman" w:cs="Times New Roman" w:eastAsia="Times New Roman" w:hAnsi="Times New Roman"/>
          <w:b/>
          <w:bCs/>
          <w:i w:val="false"/>
          <w:iCs w:val="false"/>
          <w:color w:val="000000"/>
          <w:sz w:val="24"/>
          <w:szCs w:val="24"/>
        </w:rPr>
        <w:t xml:space="preserve">South Dakota has no state personal income tax</w:t>
      </w:r>
      <w:r>
        <w:rPr>
          <w:rFonts w:ascii="Times New Roman" w:cs="Times New Roman" w:eastAsia="Times New Roman" w:hAnsi="Times New Roman"/>
          <w:b w:val="false"/>
          <w:bCs w:val="false"/>
          <w:i w:val="false"/>
          <w:iCs w:val="false"/>
          <w:color w:val="000000"/>
          <w:sz w:val="24"/>
          <w:szCs w:val="24"/>
        </w:rPr>
        <w:t xml:space="preserve">, so no state income tax distribution reserve is required.</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AND AUTHORITY</w:t>
      </w:r>
    </w:p>
    <w:p>
      <w:pPr>
        <w:spacing w:after="60" w:before="120" w:line="276" w:lineRule="auto"/>
      </w:pPr>
      <w:r>
        <w:rPr>
          <w:rFonts w:ascii="Times New Roman" w:cs="Times New Roman" w:eastAsia="Times New Roman" w:hAnsi="Times New Roman"/>
          <w:b/>
          <w:bCs/>
          <w:color w:val="000000"/>
          <w:sz w:val="24"/>
          <w:szCs w:val="24"/>
        </w:rPr>
        <w:t xml:space="preserve">5.01  Member-Managed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MEMBER-MANAGED by the Sole Member under SDCL § 47-34A-404.1.</w:t>
      </w:r>
    </w:p>
    <w:p>
      <w:pPr>
        <w:spacing w:after="60" w:before="120" w:line="276" w:lineRule="auto"/>
      </w:pPr>
      <w:r>
        <w:rPr>
          <w:rFonts w:ascii="Times New Roman" w:cs="Times New Roman" w:eastAsia="Times New Roman" w:hAnsi="Times New Roman"/>
          <w:b/>
          <w:bCs/>
          <w:color w:val="000000"/>
          <w:sz w:val="24"/>
          <w:szCs w:val="24"/>
        </w:rPr>
        <w:t xml:space="preserve">5.02  Single-Member OA Enforceability.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South Dakota law expressly states that a single-member operating agreement is </w:t>
      </w:r>
      <w:r>
        <w:rPr>
          <w:rFonts w:ascii="Times New Roman" w:cs="Times New Roman" w:eastAsia="Times New Roman" w:hAnsi="Times New Roman"/>
          <w:b/>
          <w:bCs/>
          <w:i w:val="false"/>
          <w:iCs w:val="false"/>
          <w:color w:val="000000"/>
          <w:sz w:val="24"/>
          <w:szCs w:val="24"/>
        </w:rPr>
        <w:t xml:space="preserve">NOT UNENFORCEABLE</w:t>
      </w:r>
      <w:r>
        <w:rPr>
          <w:rFonts w:ascii="Times New Roman" w:cs="Times New Roman" w:eastAsia="Times New Roman" w:hAnsi="Times New Roman"/>
          <w:b w:val="false"/>
          <w:bCs w:val="false"/>
          <w:i w:val="false"/>
          <w:iCs w:val="false"/>
          <w:color w:val="000000"/>
          <w:sz w:val="24"/>
          <w:szCs w:val="24"/>
        </w:rPr>
        <w:t xml:space="preserve"> by reason of having only one party signing it.</w:t>
      </w:r>
    </w:p>
    <w:p>
      <w:pPr>
        <w:spacing w:after="60" w:before="120" w:line="276" w:lineRule="auto"/>
      </w:pPr>
      <w:r>
        <w:rPr>
          <w:rFonts w:ascii="Times New Roman" w:cs="Times New Roman" w:eastAsia="Times New Roman" w:hAnsi="Times New Roman"/>
          <w:b/>
          <w:bCs/>
          <w:color w:val="000000"/>
          <w:sz w:val="24"/>
          <w:szCs w:val="24"/>
        </w:rPr>
        <w:t xml:space="preserve">5.03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47-34A-303</w:t>
      </w:r>
      <w:r>
        <w:rPr>
          <w:rFonts w:ascii="Times New Roman" w:cs="Times New Roman" w:eastAsia="Times New Roman" w:hAnsi="Times New Roman"/>
          <w:b w:val="false"/>
          <w:bCs w:val="false"/>
          <w:i w:val="false"/>
          <w:iCs w:val="false"/>
          <w:color w:val="000000"/>
          <w:sz w:val="24"/>
          <w:szCs w:val="24"/>
        </w:rPr>
        <w:t xml:space="preserve">, the Sole Member is not personally liable for Company debts solely by reason of membership.</w:t>
      </w:r>
    </w:p>
    <w:p>
      <w:pPr>
        <w:spacing w:after="60" w:before="120" w:line="276" w:lineRule="auto"/>
      </w:pPr>
      <w:r>
        <w:rPr>
          <w:rFonts w:ascii="Times New Roman" w:cs="Times New Roman" w:eastAsia="Times New Roman" w:hAnsi="Times New Roman"/>
          <w:b/>
          <w:bCs/>
          <w:color w:val="000000"/>
          <w:sz w:val="24"/>
          <w:szCs w:val="24"/>
        </w:rPr>
        <w:t xml:space="preserve">5.04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Sole Member owes the duty of loyalty, duty of care, and obligation of good faith and fair dealing under </w:t>
      </w:r>
      <w:r>
        <w:rPr>
          <w:rFonts w:ascii="Times New Roman" w:cs="Times New Roman" w:eastAsia="Times New Roman" w:hAnsi="Times New Roman"/>
          <w:b/>
          <w:bCs/>
          <w:i w:val="false"/>
          <w:iCs w:val="false"/>
          <w:color w:val="000000"/>
          <w:sz w:val="24"/>
          <w:szCs w:val="24"/>
        </w:rPr>
        <w:t xml:space="preserve">SDCL § 47-34A-409</w:t>
      </w:r>
      <w:r>
        <w:rPr>
          <w:rFonts w:ascii="Times New Roman" w:cs="Times New Roman" w:eastAsia="Times New Roman" w:hAnsi="Times New Roman"/>
          <w:b w:val="false"/>
          <w:bCs w:val="false"/>
          <w:i w:val="false"/>
          <w:iCs w:val="false"/>
          <w:color w:val="000000"/>
          <w:sz w:val="24"/>
          <w:szCs w:val="24"/>
        </w:rPr>
        <w:t xml:space="preserve">. These duties cannot be eliminated (§ 47-34A-103(b)).</w:t>
      </w:r>
    </w:p>
    <w:p>
      <w:pPr>
        <w:spacing w:after="60" w:before="120" w:line="276" w:lineRule="auto"/>
      </w:pPr>
      <w:r>
        <w:rPr>
          <w:rFonts w:ascii="Times New Roman" w:cs="Times New Roman" w:eastAsia="Times New Roman" w:hAnsi="Times New Roman"/>
          <w:b/>
          <w:bCs/>
          <w:color w:val="000000"/>
          <w:sz w:val="24"/>
          <w:szCs w:val="24"/>
        </w:rPr>
        <w:t xml:space="preserve">5.05  Charging Order Protection.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47-34A-504</w:t>
      </w:r>
      <w:r>
        <w:rPr>
          <w:rFonts w:ascii="Times New Roman" w:cs="Times New Roman" w:eastAsia="Times New Roman" w:hAnsi="Times New Roman"/>
          <w:b w:val="false"/>
          <w:bCs w:val="false"/>
          <w:i w:val="false"/>
          <w:iCs w:val="false"/>
          <w:color w:val="000000"/>
          <w:sz w:val="24"/>
          <w:szCs w:val="24"/>
        </w:rPr>
        <w:t xml:space="preserve">, the charging order is the EXCLUSIVE REMEDY for a judgment creditor against the Sole Member's distributional interest.</w:t>
      </w:r>
    </w:p>
    <w:p>
      <w:pPr>
        <w:spacing w:after="60" w:before="120" w:line="276" w:lineRule="auto"/>
      </w:pPr>
      <w:r>
        <w:rPr>
          <w:rFonts w:ascii="Times New Roman" w:cs="Times New Roman" w:eastAsia="Times New Roman" w:hAnsi="Times New Roman"/>
          <w:b/>
          <w:bCs/>
          <w:color w:val="000000"/>
          <w:sz w:val="24"/>
          <w:szCs w:val="24"/>
        </w:rPr>
        <w:t xml:space="preserve">5.06  Succession.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Successor / continuation in case of death or incapacity: </w:t>
      </w:r>
      <w:r>
        <w:rPr>
          <w:rFonts w:ascii="Times New Roman" w:cs="Times New Roman" w:eastAsia="Times New Roman" w:hAnsi="Times New Roman"/>
          <w:b/>
          <w:bCs/>
          <w:color w:val="990000"/>
          <w:sz w:val="24"/>
          <w:szCs w:val="24"/>
        </w:rPr>
        <w:t xml:space="preserve">[Name successor member / continuation procedure]</w:t>
      </w:r>
    </w:p>
    <w:p>
      <w:pPr>
        <w:spacing w:after="60" w:before="120" w:line="276" w:lineRule="auto"/>
      </w:pPr>
      <w:r>
        <w:rPr>
          <w:rFonts w:ascii="Times New Roman" w:cs="Times New Roman" w:eastAsia="Times New Roman" w:hAnsi="Times New Roman"/>
          <w:b/>
          <w:bCs/>
          <w:color w:val="000000"/>
          <w:sz w:val="24"/>
          <w:szCs w:val="24"/>
        </w:rPr>
        <w:t xml:space="preserve">5.07  Annual Report Reminder.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Annual report: </w:t>
      </w:r>
      <w:r>
        <w:rPr>
          <w:rFonts w:ascii="Times New Roman" w:cs="Times New Roman" w:eastAsia="Times New Roman" w:hAnsi="Times New Roman"/>
          <w:b/>
          <w:bCs/>
          <w:i w:val="false"/>
          <w:iCs w:val="false"/>
          <w:color w:val="000000"/>
          <w:sz w:val="24"/>
          <w:szCs w:val="24"/>
        </w:rPr>
        <w:t xml:space="preserve">$55 online / $70 paper</w:t>
      </w:r>
      <w:r>
        <w:rPr>
          <w:rFonts w:ascii="Times New Roman" w:cs="Times New Roman" w:eastAsia="Times New Roman" w:hAnsi="Times New Roman"/>
          <w:b w:val="false"/>
          <w:bCs w:val="false"/>
          <w:i w:val="false"/>
          <w:iCs w:val="false"/>
          <w:color w:val="000000"/>
          <w:sz w:val="24"/>
          <w:szCs w:val="24"/>
        </w:rPr>
        <w:t xml:space="preserve"> (as of July 1, 2025). Late fee: $50. [VERIFY due date via SOS Business Search.] No state income tax. Register with SD Department of Revenue for sales/use tax if applicable.</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Distributional Interest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47-34A-503</w:t>
      </w:r>
      <w:r>
        <w:rPr>
          <w:rFonts w:ascii="Times New Roman" w:cs="Times New Roman" w:eastAsia="Times New Roman" w:hAnsi="Times New Roman"/>
          <w:b w:val="false"/>
          <w:bCs w:val="false"/>
          <w:i w:val="false"/>
          <w:iCs w:val="false"/>
          <w:color w:val="000000"/>
          <w:sz w:val="24"/>
          <w:szCs w:val="24"/>
        </w:rPr>
        <w:t xml:space="preserve">, a Member may transfer a distributional interest. A transferee does NOT automatically: become a Member; gain management or voting rights; or access Company records. The transferee receives distributions only.</w:t>
      </w:r>
    </w:p>
    <w:p>
      <w:pPr>
        <w:spacing w:after="60" w:before="120" w:line="276" w:lineRule="auto"/>
      </w:pPr>
      <w:r>
        <w:rPr>
          <w:rFonts w:ascii="Times New Roman" w:cs="Times New Roman" w:eastAsia="Times New Roman" w:hAnsi="Times New Roman"/>
          <w:b/>
          <w:bCs/>
          <w:color w:val="000000"/>
          <w:sz w:val="24"/>
          <w:szCs w:val="24"/>
        </w:rPr>
        <w:t xml:space="preserve">VI.02  Admission of Transferee as Member.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47-34A-404.1</w:t>
      </w:r>
      <w:r>
        <w:rPr>
          <w:rFonts w:ascii="Times New Roman" w:cs="Times New Roman" w:eastAsia="Times New Roman" w:hAnsi="Times New Roman"/>
          <w:b w:val="false"/>
          <w:bCs w:val="false"/>
          <w:i w:val="false"/>
          <w:iCs w:val="false"/>
          <w:color w:val="000000"/>
          <w:sz w:val="24"/>
          <w:szCs w:val="24"/>
        </w:rPr>
        <w:t xml:space="preserve">, admission requires unanimous member consent absent a contrary provision. Elected threshold: </w:t>
      </w:r>
      <w:r>
        <w:rPr>
          <w:rFonts w:ascii="Times New Roman" w:cs="Times New Roman" w:eastAsia="Times New Roman" w:hAnsi="Times New Roman"/>
          <w:b/>
          <w:bCs/>
          <w:color w:val="990000"/>
          <w:sz w:val="24"/>
          <w:szCs w:val="24"/>
        </w:rPr>
        <w:t xml:space="preserve">[Unanimous (default) / two-thirds / majority / other]</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VI.04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interest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VI.05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under </w:t>
      </w:r>
      <w:r>
        <w:rPr>
          <w:rFonts w:ascii="Times New Roman" w:cs="Times New Roman" w:eastAsia="Times New Roman" w:hAnsi="Times New Roman"/>
          <w:b/>
          <w:bCs/>
          <w:i w:val="false"/>
          <w:iCs w:val="false"/>
          <w:color w:val="000000"/>
          <w:sz w:val="24"/>
          <w:szCs w:val="24"/>
        </w:rPr>
        <w:t xml:space="preserve">SDCL § 47-34A-601(6)</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VI.06  Charging Order Protection (§ 47-34A-504).</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charging order is the </w:t>
      </w:r>
      <w:r>
        <w:rPr>
          <w:rFonts w:ascii="Times New Roman" w:cs="Times New Roman" w:eastAsia="Times New Roman" w:hAnsi="Times New Roman"/>
          <w:b/>
          <w:bCs/>
          <w:i w:val="false"/>
          <w:iCs w:val="false"/>
          <w:color w:val="000000"/>
          <w:sz w:val="24"/>
          <w:szCs w:val="24"/>
        </w:rPr>
        <w:t xml:space="preserve">EXCLUSIVE REMEDY</w:t>
      </w:r>
      <w:r>
        <w:rPr>
          <w:rFonts w:ascii="Times New Roman" w:cs="Times New Roman" w:eastAsia="Times New Roman" w:hAnsi="Times New Roman"/>
          <w:b w:val="false"/>
          <w:bCs w:val="false"/>
          <w:i w:val="false"/>
          <w:iCs w:val="false"/>
          <w:color w:val="000000"/>
          <w:sz w:val="24"/>
          <w:szCs w:val="24"/>
        </w:rPr>
        <w:t xml:space="preserve"> for a judgment creditor against a Member's distributional interest (</w:t>
      </w:r>
      <w:r>
        <w:rPr>
          <w:rFonts w:ascii="Times New Roman" w:cs="Times New Roman" w:eastAsia="Times New Roman" w:hAnsi="Times New Roman"/>
          <w:b/>
          <w:bCs/>
          <w:i w:val="false"/>
          <w:iCs w:val="false"/>
          <w:color w:val="000000"/>
          <w:sz w:val="24"/>
          <w:szCs w:val="24"/>
        </w:rPr>
        <w:t xml:space="preserve">SDCL § 47-34A-504</w:t>
      </w:r>
      <w:r>
        <w:rPr>
          <w:rFonts w:ascii="Times New Roman" w:cs="Times New Roman" w:eastAsia="Times New Roman" w:hAnsi="Times New Roman"/>
          <w:b w:val="false"/>
          <w:bCs w:val="false"/>
          <w:i w:val="false"/>
          <w:iCs w:val="false"/>
          <w:color w:val="000000"/>
          <w:sz w:val="24"/>
          <w:szCs w:val="24"/>
        </w:rPr>
        <w:t xml:space="preserve">). No transferee — including a charging-order holder — automatically becomes a Member without admission under this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VII.01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47-34A-303</w:t>
      </w:r>
      <w:r>
        <w:rPr>
          <w:rFonts w:ascii="Times New Roman" w:cs="Times New Roman" w:eastAsia="Times New Roman" w:hAnsi="Times New Roman"/>
          <w:b w:val="false"/>
          <w:bCs w:val="false"/>
          <w:i w:val="false"/>
          <w:iCs w:val="false"/>
          <w:color w:val="000000"/>
          <w:sz w:val="24"/>
          <w:szCs w:val="24"/>
        </w:rPr>
        <w:t xml:space="preserve">, Members and Managers are not personally liable for the Company's debts, obligations, or liabilities solely because of their membership or management status.</w:t>
      </w:r>
    </w:p>
    <w:p>
      <w:pPr>
        <w:spacing w:after="60" w:before="120" w:line="276" w:lineRule="auto"/>
      </w:pPr>
      <w:r>
        <w:rPr>
          <w:rFonts w:ascii="Times New Roman" w:cs="Times New Roman" w:eastAsia="Times New Roman" w:hAnsi="Times New Roman"/>
          <w:b/>
          <w:bCs/>
          <w:color w:val="000000"/>
          <w:sz w:val="24"/>
          <w:szCs w:val="24"/>
        </w:rPr>
        <w:t xml:space="preserve">VII.02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indemnify and hold harmless any Member, Manager, or agent for acts taken in good faith in the best interests of the Company. No indemnification is permitted for acts that violate </w:t>
      </w:r>
      <w:r>
        <w:rPr>
          <w:rFonts w:ascii="Times New Roman" w:cs="Times New Roman" w:eastAsia="Times New Roman" w:hAnsi="Times New Roman"/>
          <w:b/>
          <w:bCs/>
          <w:i w:val="false"/>
          <w:iCs w:val="false"/>
          <w:color w:val="000000"/>
          <w:sz w:val="24"/>
          <w:szCs w:val="24"/>
        </w:rPr>
        <w:t xml:space="preserve">SDCL § 47-34A-103(b)</w:t>
      </w:r>
      <w:r>
        <w:rPr>
          <w:rFonts w:ascii="Times New Roman" w:cs="Times New Roman" w:eastAsia="Times New Roman" w:hAnsi="Times New Roman"/>
          <w:b w:val="false"/>
          <w:bCs w:val="false"/>
          <w:i w:val="false"/>
          <w:iCs w:val="false"/>
          <w:color w:val="000000"/>
          <w:sz w:val="24"/>
          <w:szCs w:val="24"/>
        </w:rPr>
        <w:t xml:space="preserve"> or § 47-34A-409.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VII.03  Fiduciary Duty Floor (§ 47-34A-103(b)).</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duty of loyalty, obligation of good faith and fair dealing, and other non-waivable protections in </w:t>
      </w:r>
      <w:r>
        <w:rPr>
          <w:rFonts w:ascii="Times New Roman" w:cs="Times New Roman" w:eastAsia="Times New Roman" w:hAnsi="Times New Roman"/>
          <w:b/>
          <w:bCs/>
          <w:i w:val="false"/>
          <w:iCs w:val="false"/>
          <w:color w:val="000000"/>
          <w:sz w:val="24"/>
          <w:szCs w:val="24"/>
        </w:rPr>
        <w:t xml:space="preserve">SDCL § 47-34A-103(b)</w:t>
      </w:r>
      <w:r>
        <w:rPr>
          <w:rFonts w:ascii="Times New Roman" w:cs="Times New Roman" w:eastAsia="Times New Roman" w:hAnsi="Times New Roman"/>
          <w:b w:val="false"/>
          <w:bCs w:val="false"/>
          <w:i w:val="false"/>
          <w:iCs w:val="false"/>
          <w:color w:val="000000"/>
          <w:sz w:val="24"/>
          <w:szCs w:val="24"/>
        </w:rPr>
        <w:t xml:space="preserve"> cannot be eliminated. Any modification must not be </w:t>
      </w:r>
      <w:r>
        <w:rPr>
          <w:rFonts w:ascii="Times New Roman" w:cs="Times New Roman" w:eastAsia="Times New Roman" w:hAnsi="Times New Roman"/>
          <w:b/>
          <w:bCs/>
          <w:i w:val="false"/>
          <w:iCs w:val="false"/>
          <w:color w:val="000000"/>
          <w:sz w:val="24"/>
          <w:szCs w:val="24"/>
        </w:rPr>
        <w:t xml:space="preserve">"manifestly unreasonable"</w:t>
      </w:r>
      <w:r>
        <w:rPr>
          <w:rFonts w:ascii="Times New Roman" w:cs="Times New Roman" w:eastAsia="Times New Roman" w:hAnsi="Times New Roman"/>
          <w:b w:val="false"/>
          <w:bCs w:val="false"/>
          <w:i w:val="false"/>
          <w:iCs w:val="false"/>
          <w:color w:val="000000"/>
          <w:sz w:val="24"/>
          <w:szCs w:val="24"/>
        </w:rPr>
        <w:t xml:space="preserve"> under § 47-34A-409.</w:t>
      </w:r>
    </w:p>
    <w:p>
      <w:pPr>
        <w:spacing w:after="60" w:before="120" w:line="276" w:lineRule="auto"/>
      </w:pPr>
      <w:r>
        <w:rPr>
          <w:rFonts w:ascii="Times New Roman" w:cs="Times New Roman" w:eastAsia="Times New Roman" w:hAnsi="Times New Roman"/>
          <w:b/>
          <w:bCs/>
          <w:color w:val="000000"/>
          <w:sz w:val="24"/>
          <w:szCs w:val="24"/>
        </w:rPr>
        <w:t xml:space="preserve">VII.04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DISSOLUTION AND WINDING UP</w:t>
      </w:r>
    </w:p>
    <w:p>
      <w:pPr>
        <w:spacing w:after="60" w:before="120" w:line="276" w:lineRule="auto"/>
      </w:pPr>
      <w:r>
        <w:rPr>
          <w:rFonts w:ascii="Times New Roman" w:cs="Times New Roman" w:eastAsia="Times New Roman" w:hAnsi="Times New Roman"/>
          <w:b/>
          <w:bCs/>
          <w:color w:val="000000"/>
          <w:sz w:val="24"/>
          <w:szCs w:val="24"/>
        </w:rPr>
        <w:t xml:space="preserve">VIII.01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(SDCL § 47-34A-801):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specified in this Agreement (e.g., term expiration, milestone).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Unanimous written member consent to wind up.</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Judicial dissolution on specified grounds.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Administrative dissolution by the SOS for failure to file annual reports.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NOTE: This Agreement CANNOT override the duty to wind up in cases under </w:t>
      </w:r>
      <w:r>
        <w:rPr>
          <w:rFonts w:ascii="Times New Roman" w:cs="Times New Roman" w:eastAsia="Times New Roman" w:hAnsi="Times New Roman"/>
          <w:b/>
          <w:bCs/>
          <w:i w:val="false"/>
          <w:iCs w:val="false"/>
          <w:color w:val="000000"/>
          <w:sz w:val="24"/>
          <w:szCs w:val="24"/>
        </w:rPr>
        <w:t xml:space="preserve">SDCL § 47-34A-801(a)(3) and (4)</w:t>
      </w:r>
      <w:r>
        <w:rPr>
          <w:rFonts w:ascii="Times New Roman" w:cs="Times New Roman" w:eastAsia="Times New Roman" w:hAnsi="Times New Roman"/>
          <w:b w:val="false"/>
          <w:bCs w:val="false"/>
          <w:i w:val="false"/>
          <w:iCs w:val="false"/>
          <w:color w:val="000000"/>
          <w:sz w:val="24"/>
          <w:szCs w:val="24"/>
        </w:rPr>
        <w:t xml:space="preserve">. Elected voluntary dissolution threshold: </w:t>
      </w:r>
      <w:r>
        <w:rPr>
          <w:rFonts w:ascii="Times New Roman" w:cs="Times New Roman" w:eastAsia="Times New Roman" w:hAnsi="Times New Roman"/>
          <w:b/>
          <w:bCs/>
          <w:color w:val="990000"/>
          <w:sz w:val="24"/>
          <w:szCs w:val="24"/>
        </w:rPr>
        <w:t xml:space="preserve">[Unanimous (default) / two-thirds / majority / other]</w:t>
      </w:r>
    </w:p>
    <w:p>
      <w:pPr>
        <w:spacing w:after="60" w:before="120" w:line="276" w:lineRule="auto"/>
      </w:pPr>
      <w:r>
        <w:rPr>
          <w:rFonts w:ascii="Times New Roman" w:cs="Times New Roman" w:eastAsia="Times New Roman" w:hAnsi="Times New Roman"/>
          <w:b/>
          <w:bCs/>
          <w:color w:val="000000"/>
          <w:sz w:val="24"/>
          <w:szCs w:val="24"/>
        </w:rPr>
        <w:t xml:space="preserve">VIII.02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distribute remaining assets by Ownership Interest percentages. File Articles of Dissolution / Termination with the SOS.</w:t>
      </w:r>
    </w:p>
    <w:p>
      <w:pPr>
        <w:spacing w:after="60" w:before="120" w:line="276" w:lineRule="auto"/>
      </w:pPr>
      <w:r>
        <w:rPr>
          <w:rFonts w:ascii="Times New Roman" w:cs="Times New Roman" w:eastAsia="Times New Roman" w:hAnsi="Times New Roman"/>
          <w:b/>
          <w:bCs/>
          <w:color w:val="000000"/>
          <w:sz w:val="24"/>
          <w:szCs w:val="24"/>
        </w:rPr>
        <w:t xml:space="preserve">VIII.03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dissolution: </w:t>
      </w:r>
      <w:r>
        <w:rPr>
          <w:rFonts w:ascii="Times New Roman" w:cs="Times New Roman" w:eastAsia="Times New Roman" w:hAnsi="Times New Roman"/>
          <w:b/>
          <w:bCs/>
          <w:color w:val="990000"/>
          <w:sz w:val="24"/>
          <w:szCs w:val="24"/>
        </w:rPr>
        <w:t xml:space="preserve">[Mediation / arbitration / South Dakota circuit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AMENDMENTS</w:t>
      </w:r>
    </w:p>
    <w:p>
      <w:pPr>
        <w:spacing w:after="60" w:before="120" w:line="276" w:lineRule="auto"/>
      </w:pPr>
      <w:r>
        <w:rPr>
          <w:rFonts w:ascii="Times New Roman" w:cs="Times New Roman" w:eastAsia="Times New Roman" w:hAnsi="Times New Roman"/>
          <w:b/>
          <w:bCs/>
          <w:color w:val="000000"/>
          <w:sz w:val="24"/>
          <w:szCs w:val="24"/>
        </w:rPr>
        <w:t xml:space="preserve">IX.01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47-34A-404.1</w:t>
      </w:r>
      <w:r>
        <w:rPr>
          <w:rFonts w:ascii="Times New Roman" w:cs="Times New Roman" w:eastAsia="Times New Roman" w:hAnsi="Times New Roman"/>
          <w:b w:val="false"/>
          <w:bCs w:val="false"/>
          <w:i w:val="false"/>
          <w:iCs w:val="false"/>
          <w:color w:val="000000"/>
          <w:sz w:val="24"/>
          <w:szCs w:val="24"/>
        </w:rPr>
        <w:t xml:space="preserve">, amending this Agreement requires </w:t>
      </w:r>
      <w:r>
        <w:rPr>
          <w:rFonts w:ascii="Times New Roman" w:cs="Times New Roman" w:eastAsia="Times New Roman" w:hAnsi="Times New Roman"/>
          <w:b/>
          <w:bCs/>
          <w:i w:val="false"/>
          <w:iCs w:val="false"/>
          <w:color w:val="000000"/>
          <w:sz w:val="24"/>
          <w:szCs w:val="24"/>
        </w:rPr>
        <w:t xml:space="preserve">UNANIMOUS member consent</w:t>
      </w:r>
      <w:r>
        <w:rPr>
          <w:rFonts w:ascii="Times New Roman" w:cs="Times New Roman" w:eastAsia="Times New Roman" w:hAnsi="Times New Roman"/>
          <w:b w:val="false"/>
          <w:bCs w:val="false"/>
          <w:i w:val="false"/>
          <w:iCs w:val="false"/>
          <w:color w:val="000000"/>
          <w:sz w:val="24"/>
          <w:szCs w:val="24"/>
        </w:rPr>
        <w:t xml:space="preserve"> absent contrary provision. Elected threshold: </w:t>
      </w:r>
      <w:r>
        <w:rPr>
          <w:rFonts w:ascii="Times New Roman" w:cs="Times New Roman" w:eastAsia="Times New Roman" w:hAnsi="Times New Roman"/>
          <w:b/>
          <w:bCs/>
          <w:color w:val="990000"/>
          <w:sz w:val="24"/>
          <w:szCs w:val="24"/>
        </w:rPr>
        <w:t xml:space="preserve">[Unanimous (default) / two-thirds / majority of all members / other]</w:t>
      </w:r>
    </w:p>
    <w:p>
      <w:pPr>
        <w:spacing w:after="60" w:before="120" w:line="276" w:lineRule="auto"/>
      </w:pPr>
      <w:r>
        <w:rPr>
          <w:rFonts w:ascii="Times New Roman" w:cs="Times New Roman" w:eastAsia="Times New Roman" w:hAnsi="Times New Roman"/>
          <w:b/>
          <w:bCs/>
          <w:color w:val="000000"/>
          <w:sz w:val="24"/>
          <w:szCs w:val="24"/>
        </w:rPr>
        <w:t xml:space="preserve">IX.02  Written Amendments Recommended.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Although </w:t>
      </w:r>
      <w:r>
        <w:rPr>
          <w:rFonts w:ascii="Times New Roman" w:cs="Times New Roman" w:eastAsia="Times New Roman" w:hAnsi="Times New Roman"/>
          <w:b/>
          <w:bCs/>
          <w:i w:val="false"/>
          <w:iCs w:val="false"/>
          <w:color w:val="000000"/>
          <w:sz w:val="24"/>
          <w:szCs w:val="24"/>
        </w:rPr>
        <w:t xml:space="preserve">SDCL § 47-34A-103(a)</w:t>
      </w:r>
      <w:r>
        <w:rPr>
          <w:rFonts w:ascii="Times New Roman" w:cs="Times New Roman" w:eastAsia="Times New Roman" w:hAnsi="Times New Roman"/>
          <w:b w:val="false"/>
          <w:bCs w:val="false"/>
          <w:i w:val="false"/>
          <w:iCs w:val="false"/>
          <w:color w:val="000000"/>
          <w:sz w:val="24"/>
          <w:szCs w:val="24"/>
        </w:rPr>
        <w:t xml:space="preserve"> recognizes oral and implied operating agreements, all amendments to this WRITTEN Agreement should be IN WRITING and signed by the required threshold of Members.</w:t>
      </w:r>
    </w:p>
    <w:p>
      <w:pPr>
        <w:spacing w:after="60" w:before="120" w:line="276" w:lineRule="auto"/>
      </w:pPr>
      <w:r>
        <w:rPr>
          <w:rFonts w:ascii="Times New Roman" w:cs="Times New Roman" w:eastAsia="Times New Roman" w:hAnsi="Times New Roman"/>
          <w:b/>
          <w:bCs/>
          <w:color w:val="000000"/>
          <w:sz w:val="24"/>
          <w:szCs w:val="24"/>
        </w:rPr>
        <w:t xml:space="preserve">IX.03  Articles Alignment.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Amendments affecting the management structure (member-managed vs. manager-managed) may require filing an amendment to the Articles of Organization with the SOS under </w:t>
      </w:r>
      <w:r>
        <w:rPr>
          <w:rFonts w:ascii="Times New Roman" w:cs="Times New Roman" w:eastAsia="Times New Roman" w:hAnsi="Times New Roman"/>
          <w:b/>
          <w:bCs/>
          <w:i w:val="false"/>
          <w:iCs w:val="false"/>
          <w:color w:val="000000"/>
          <w:sz w:val="24"/>
          <w:szCs w:val="24"/>
        </w:rPr>
        <w:t xml:space="preserve">SDCL § 47-34A-203</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X
GENERAL PROVISIONS</w:t>
      </w:r>
    </w:p>
    <w:p>
      <w:pPr>
        <w:spacing w:after="60" w:before="120" w:line="276" w:lineRule="auto"/>
      </w:pPr>
      <w:r>
        <w:rPr>
          <w:rFonts w:ascii="Times New Roman" w:cs="Times New Roman" w:eastAsia="Times New Roman" w:hAnsi="Times New Roman"/>
          <w:b/>
          <w:bCs/>
          <w:color w:val="000000"/>
          <w:sz w:val="24"/>
          <w:szCs w:val="24"/>
        </w:rPr>
        <w:t xml:space="preserve">X.01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South Dakota, specifically the South Dakota Uniform Limited Liability Company Act, Title 47, Chapter 34A.</w:t>
      </w:r>
    </w:p>
    <w:p>
      <w:pPr>
        <w:spacing w:after="60" w:before="120" w:line="276" w:lineRule="auto"/>
      </w:pPr>
      <w:r>
        <w:rPr>
          <w:rFonts w:ascii="Times New Roman" w:cs="Times New Roman" w:eastAsia="Times New Roman" w:hAnsi="Times New Roman"/>
          <w:b/>
          <w:bCs/>
          <w:color w:val="000000"/>
          <w:sz w:val="24"/>
          <w:szCs w:val="24"/>
        </w:rPr>
        <w:t xml:space="preserve">X.04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South Dakota circuit court]</w:t>
      </w:r>
    </w:p>
    <w:p>
      <w:pPr>
        <w:spacing w:after="60" w:before="120" w:line="276" w:lineRule="auto"/>
      </w:pPr>
      <w:r>
        <w:rPr>
          <w:rFonts w:ascii="Times New Roman" w:cs="Times New Roman" w:eastAsia="Times New Roman" w:hAnsi="Times New Roman"/>
          <w:b/>
          <w:bCs/>
          <w:color w:val="000000"/>
          <w:sz w:val="24"/>
          <w:szCs w:val="24"/>
        </w:rPr>
        <w:t xml:space="preserve">X.05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South Dakota law does not require notarization. This Agreement is NOT filed with the SOS. All Members should sign.</w:t>
      </w:r>
    </w:p>
    <w:p>
      <w:pPr>
        <w:spacing w:after="60" w:before="120" w:line="276" w:lineRule="auto"/>
      </w:pPr>
      <w:r>
        <w:rPr>
          <w:rFonts w:ascii="Times New Roman" w:cs="Times New Roman" w:eastAsia="Times New Roman" w:hAnsi="Times New Roman"/>
          <w:b/>
          <w:bCs/>
          <w:color w:val="000000"/>
          <w:sz w:val="24"/>
          <w:szCs w:val="24"/>
        </w:rPr>
        <w:t xml:space="preserve">X.07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ADOPTION BY SOLE MEMBER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undersigned, being the Sole Member, hereby adopts this written Operating Agreement under </w:t>
      </w:r>
      <w:r>
        <w:rPr>
          <w:rFonts w:ascii="Times New Roman" w:cs="Times New Roman" w:eastAsia="Times New Roman" w:hAnsi="Times New Roman"/>
          <w:b/>
          <w:bCs/>
          <w:i w:val="false"/>
          <w:iCs w:val="false"/>
          <w:color w:val="000000"/>
          <w:sz w:val="24"/>
          <w:szCs w:val="24"/>
        </w:rPr>
        <w:t xml:space="preserve">SDCL § 47-34A-103(a)</w:t>
      </w:r>
      <w:r>
        <w:rPr>
          <w:rFonts w:ascii="Times New Roman" w:cs="Times New Roman" w:eastAsia="Times New Roman" w:hAnsi="Times New Roman"/>
          <w:b w:val="false"/>
          <w:bCs w:val="false"/>
          <w:i w:val="false"/>
          <w:iCs w:val="false"/>
          <w:color w:val="000000"/>
          <w:sz w:val="24"/>
          <w:szCs w:val="24"/>
        </w:rPr>
        <w:t xml:space="preserve">. South Dakota law does not require notarization. NOT filed with the SOS.</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matching Articles of Organization]</w:t>
      </w:r>
    </w:p>
    <w:p>
      <w:pPr>
        <w:spacing w:after="80" w:before="0" w:line="276" w:lineRule="auto"/>
      </w:pPr>
      <w:r>
        <w:rPr>
          <w:rFonts w:ascii="Times New Roman" w:cs="Times New Roman" w:eastAsia="Times New Roman" w:hAnsi="Times New Roman"/>
          <w:b/>
          <w:bCs/>
          <w:i w:val="false"/>
          <w:iCs w:val="false"/>
          <w:color w:val="000000"/>
          <w:sz w:val="24"/>
          <w:szCs w:val="24"/>
        </w:rPr>
        <w:t xml:space="preserve">State:  </w:t>
      </w:r>
      <w:r>
        <w:rPr>
          <w:rFonts w:ascii="Times New Roman" w:cs="Times New Roman" w:eastAsia="Times New Roman" w:hAnsi="Times New Roman"/>
          <w:b w:val="false"/>
          <w:bCs w:val="false"/>
          <w:i w:val="false"/>
          <w:iCs w:val="false"/>
          <w:color w:val="000000"/>
          <w:sz w:val="24"/>
          <w:szCs w:val="24"/>
        </w:rPr>
        <w:t xml:space="preserve">South Dakota</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of Adoption: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SD ZIP]</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 AND OWNERSHIP INTEREST</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sole member, Ownership Interest: 100%. No SD state income tax. Annual report: $55 online (as of July 1, 2025). Charging order is EXCLUSIVE creditor remedy (</w:t>
      </w:r>
      <w:r>
        <w:rPr>
          <w:rFonts w:ascii="Times New Roman" w:cs="Times New Roman" w:eastAsia="Times New Roman" w:hAnsi="Times New Roman"/>
          <w:b/>
          <w:bCs/>
          <w:i w:val="false"/>
          <w:iCs w:val="false"/>
          <w:color w:val="000000"/>
          <w:sz w:val="24"/>
          <w:szCs w:val="24"/>
        </w:rPr>
        <w:t xml:space="preserve">SDCL § 47-34A-504</w:t>
      </w:r>
      <w:r>
        <w:rPr>
          <w:rFonts w:ascii="Times New Roman" w:cs="Times New Roman" w:eastAsia="Times New Roman" w:hAnsi="Times New Roman"/>
          <w:b w:val="false"/>
          <w:bCs w:val="false"/>
          <w:i w:val="false"/>
          <w:iCs w:val="false"/>
          <w:color w:val="000000"/>
          <w:sz w:val="24"/>
          <w:szCs w:val="24"/>
        </w:rPr>
        <w:t xml:space="preserve">).</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South Dakota limited liability company is provided by Boost Suite for informational and educational purposes only. It does not constitute legal advice and does not create an attorney-client relationship. Boost Suite is not a law firm. This template is based on the South Dakota Uniform Limited Liability Company Act, Title 47, Chapter 34A, including SDCL §§ 47-34A-103, 47-34A-203, 47-34A-211, 47-34A-303, 47-34A-304, 47-34A-401, 47-34A-404.1, 47-34A-405, 47-34A-406, 47-34A-409, 47-34A-503, 47-34A-504, 47-34A-601, 47-34A-702, and 47-34A-801, as amended by HB 1106 (Chapter 233, 2023 session). Laws change; Boost Suite does not guarantee that this template reflects the most current version of South Dakota law.</w:t>
      </w:r>
    </w:p>
    <w:p>
      <w:r>
        <w:br/>
      </w:r>
    </w:p>
    <w:p>
      <w:pPr>
        <w:spacing w:after="80" w:before="0" w:line="276" w:lineRule="auto"/>
      </w:pPr>
      <w:r>
        <w:rPr>
          <w:rFonts w:ascii="Times New Roman" w:cs="Times New Roman" w:eastAsia="Times New Roman" w:hAnsi="Times New Roman"/>
          <w:b/>
          <w:bCs/>
          <w:sz w:val="24"/>
          <w:szCs w:val="24"/>
        </w:rPr>
        <w:t xml:space="preserve">Your South Dakota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7jdctumeibjonkkynwjfj">
        <w:r>
          <w:rPr>
            <w:rFonts w:ascii="Times New Roman" w:cs="Times New Roman" w:eastAsia="Times New Roman" w:hAnsi="Times New Roman"/>
            <w:color w:val="0000CC"/>
            <w:sz w:val="24"/>
            <w:szCs w:val="24"/>
            <w:u w:val="single"/>
          </w:rPr>
          <w:t xml:space="preserve">https://boostsuite.com/llc-operating-agreement/south-dakota/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2oad23pszoh7br99q2mzp">
        <w:r>
          <w:rPr>
            <w:rFonts w:ascii="Times New Roman" w:cs="Times New Roman" w:eastAsia="Times New Roman" w:hAnsi="Times New Roman"/>
            <w:color w:val="0000CC"/>
            <w:sz w:val="24"/>
            <w:szCs w:val="24"/>
            <w:u w:val="single"/>
          </w:rPr>
          <w:t xml:space="preserve">https://boostsuite.com/how-to-start-an-llc/south-dakota/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hrimdftdfi9sry1mstdhz">
        <w:r>
          <w:rPr>
            <w:rFonts w:ascii="Times New Roman" w:cs="Times New Roman" w:eastAsia="Times New Roman" w:hAnsi="Times New Roman"/>
            <w:color w:val="0000CC"/>
            <w:sz w:val="24"/>
            <w:szCs w:val="24"/>
            <w:u w:val="single"/>
          </w:rPr>
          <w:t xml:space="preserve">https://boostsuite.com/how-to-start-an-llc/cost/south-dakota/</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7jdctumeibjonkkynwjfj" Type="http://schemas.openxmlformats.org/officeDocument/2006/relationships/hyperlink" Target="https://boostsuite.com/llc-operating-agreement/south-dakota/" TargetMode="External"/><Relationship Id="rId2oad23pszoh7br99q2mzp" Type="http://schemas.openxmlformats.org/officeDocument/2006/relationships/hyperlink" Target="https://boostsuite.com/how-to-start-an-llc/south-dakota/" TargetMode="External"/><Relationship Id="rIdhrimdftdfi9sry1mstdhz" Type="http://schemas.openxmlformats.org/officeDocument/2006/relationships/hyperlink" Target="https://boostsuite.com/how-to-start-an-llc/cost/south-dakot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2026-04-28T03:30:52.436Z</dcterms:created>
  <dcterms:modified xsi:type="dcterms:W3CDTF">2026-04-28T03:30:52.436Z</dcterms:modified>
</cp:coreProperties>
</file>

<file path=docProps/custom.xml><?xml version="1.0" encoding="utf-8"?>
<Properties xmlns="http://schemas.openxmlformats.org/officeDocument/2006/custom-properties" xmlns:vt="http://schemas.openxmlformats.org/officeDocument/2006/docPropsVTypes"/>
</file>