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SOUTH DAKOTA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South Dakota Uniform Limited Liability Company Act, SDCL Title 47, Chapter 34A</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South Dakota Uniform Limited Liability Company Act, Title 47, Chapter 34A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South Dakota Secretary of State under SDCL § 47-34A-203. Filing fee: </w:t>
      </w:r>
      <w:r>
        <w:rPr>
          <w:rFonts w:ascii="Times New Roman" w:cs="Times New Roman" w:eastAsia="Times New Roman" w:hAnsi="Times New Roman"/>
          <w:b/>
          <w:bCs/>
          <w:i w:val="false"/>
          <w:iCs w:val="false"/>
          <w:color w:val="000000"/>
          <w:sz w:val="24"/>
          <w:szCs w:val="24"/>
        </w:rPr>
        <w:t xml:space="preserve">$150 online; $165 by mail</w:t>
      </w:r>
      <w:r>
        <w:rPr>
          <w:rFonts w:ascii="Times New Roman" w:cs="Times New Roman" w:eastAsia="Times New Roman" w:hAnsi="Times New Roman"/>
          <w:b w:val="false"/>
          <w:bCs w:val="false"/>
          <w:i w:val="false"/>
          <w:iCs w:val="false"/>
          <w:color w:val="000000"/>
          <w:sz w:val="24"/>
          <w:szCs w:val="24"/>
        </w:rPr>
        <w:t xml:space="preserve"> (includes $15 paper surcharge).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Need Not Be in Writing.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the operating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Oral and implied agreements are legally recognized. The SOS confirms that LLC operating agreements are internal company documents and are </w:t>
      </w:r>
      <w:r>
        <w:rPr>
          <w:rFonts w:ascii="Times New Roman" w:cs="Times New Roman" w:eastAsia="Times New Roman" w:hAnsi="Times New Roman"/>
          <w:b/>
          <w:bCs/>
          <w:i w:val="false"/>
          <w:iCs w:val="false"/>
          <w:color w:val="000000"/>
          <w:sz w:val="24"/>
          <w:szCs w:val="24"/>
        </w:rPr>
        <w:t xml:space="preserve">NEVER filed with the Secretary of State</w:t>
      </w:r>
      <w:r>
        <w:rPr>
          <w:rFonts w:ascii="Times New Roman" w:cs="Times New Roman" w:eastAsia="Times New Roman" w:hAnsi="Times New Roman"/>
          <w:b w:val="false"/>
          <w:bCs w:val="false"/>
          <w:i w:val="false"/>
          <w:iCs w:val="false"/>
          <w:color w:val="000000"/>
          <w:sz w:val="24"/>
          <w:szCs w:val="24"/>
        </w:rPr>
        <w:t xml:space="preserve">. This Agreement is adopted in WRITTEN form for evidentiary clarity, banking, and enforceability.</w:t>
      </w:r>
    </w:p>
    <w:p>
      <w:pPr>
        <w:spacing w:after="60" w:before="120" w:line="276" w:lineRule="auto"/>
      </w:pPr>
      <w:r>
        <w:rPr>
          <w:rFonts w:ascii="Times New Roman" w:cs="Times New Roman" w:eastAsia="Times New Roman" w:hAnsi="Times New Roman"/>
          <w:b/>
          <w:bCs/>
          <w:color w:val="000000"/>
          <w:sz w:val="24"/>
          <w:szCs w:val="24"/>
        </w:rPr>
        <w:t xml:space="preserve">1.05  Single-Member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expressly states that a single-member operating agreement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by reason of having only one person who is a party to it. This Agreement is valid and binding whether signed by one member or more.</w:t>
      </w:r>
    </w:p>
    <w:p>
      <w:pPr>
        <w:spacing w:after="60" w:before="120" w:line="276" w:lineRule="auto"/>
      </w:pPr>
      <w:r>
        <w:rPr>
          <w:rFonts w:ascii="Times New Roman" w:cs="Times New Roman" w:eastAsia="Times New Roman" w:hAnsi="Times New Roman"/>
          <w:b/>
          <w:bCs/>
          <w:color w:val="000000"/>
          <w:sz w:val="24"/>
          <w:szCs w:val="24"/>
        </w:rPr>
        <w:t xml:space="preserve">1.06  Non-Overridable Provisions (§ 47-34A-103(b)).</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eliminate: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duty of loyalty (</w:t>
      </w:r>
      <w:r>
        <w:rPr>
          <w:rFonts w:ascii="Times New Roman" w:cs="Times New Roman" w:eastAsia="Times New Roman" w:hAnsi="Times New Roman"/>
          <w:b/>
          <w:bCs/>
          <w:i w:val="false"/>
          <w:iCs w:val="false"/>
          <w:color w:val="000000"/>
          <w:sz w:val="24"/>
          <w:szCs w:val="24"/>
        </w:rPr>
        <w:t xml:space="preserve">SDCL § 47-34A-409</w:t>
      </w:r>
      <w:r>
        <w:rPr>
          <w:rFonts w:ascii="Times New Roman" w:cs="Times New Roman" w:eastAsia="Times New Roman" w:hAnsi="Times New Roman"/>
          <w:b w:val="false"/>
          <w:bCs w:val="false"/>
          <w:i w:val="false"/>
          <w:iCs w:val="false"/>
          <w:color w:val="000000"/>
          <w:sz w:val="24"/>
          <w:szCs w:val="24"/>
        </w:rPr>
        <w:t xml:space="preserve">), though it may identify categories of permitted activities and approval mechanisms if not manifestly unreasonable.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The obligation of good faith and fair dealing, though it may set standards for performance if not manifestly unreasonable.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right to expel a member in circumstances specified in </w:t>
      </w:r>
      <w:r>
        <w:rPr>
          <w:rFonts w:ascii="Times New Roman" w:cs="Times New Roman" w:eastAsia="Times New Roman" w:hAnsi="Times New Roman"/>
          <w:b/>
          <w:bCs/>
          <w:i w:val="false"/>
          <w:iCs w:val="false"/>
          <w:color w:val="000000"/>
          <w:sz w:val="24"/>
          <w:szCs w:val="24"/>
        </w:rPr>
        <w:t xml:space="preserve">SDCL § 47-34A-601(6)</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The duty to wind up in cases under </w:t>
      </w:r>
      <w:r>
        <w:rPr>
          <w:rFonts w:ascii="Times New Roman" w:cs="Times New Roman" w:eastAsia="Times New Roman" w:hAnsi="Times New Roman"/>
          <w:b/>
          <w:bCs/>
          <w:i w:val="false"/>
          <w:iCs w:val="false"/>
          <w:color w:val="000000"/>
          <w:sz w:val="24"/>
          <w:szCs w:val="24"/>
        </w:rPr>
        <w:t xml:space="preserve">SDCL § 47-34A-801(a)(3) and (4)</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Rights of non-members (third parties) granted by the Act.</w:t>
      </w:r>
    </w:p>
    <w:p>
      <w:pPr>
        <w:spacing w:after="60" w:before="120" w:line="276" w:lineRule="auto"/>
      </w:pPr>
      <w:r>
        <w:rPr>
          <w:rFonts w:ascii="Times New Roman" w:cs="Times New Roman" w:eastAsia="Times New Roman" w:hAnsi="Times New Roman"/>
          <w:b/>
          <w:bCs/>
          <w:color w:val="000000"/>
          <w:sz w:val="24"/>
          <w:szCs w:val="24"/>
        </w:rPr>
        <w:t xml:space="preserve">1.07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47-34A-203</w:t>
      </w:r>
      <w:r>
        <w:rPr>
          <w:rFonts w:ascii="Times New Roman" w:cs="Times New Roman" w:eastAsia="Times New Roman" w:hAnsi="Times New Roman"/>
          <w:b w:val="false"/>
          <w:bCs w:val="false"/>
          <w:i w:val="false"/>
          <w:iCs w:val="false"/>
          <w:color w:val="000000"/>
          <w:sz w:val="24"/>
          <w:szCs w:val="24"/>
        </w:rPr>
        <w:t xml:space="preserve">, the Company must maintain a registered agent with a physical address in South Dakota. The South Dakota Model Registered Agents Act (MRAA) applies.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SD ZIP]</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SD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47-34A-211</w:t>
      </w:r>
      <w:r>
        <w:rPr>
          <w:rFonts w:ascii="Times New Roman" w:cs="Times New Roman" w:eastAsia="Times New Roman" w:hAnsi="Times New Roman"/>
          <w:b w:val="false"/>
          <w:bCs w:val="false"/>
          <w:i w:val="false"/>
          <w:iCs w:val="false"/>
          <w:color w:val="000000"/>
          <w:sz w:val="24"/>
          <w:szCs w:val="24"/>
        </w:rPr>
        <w:t xml:space="preserve">, every South Dakota LLC must file an annual report. Current fees (as of July 1, 2025): </w:t>
      </w:r>
      <w:r>
        <w:rPr>
          <w:rFonts w:ascii="Times New Roman" w:cs="Times New Roman" w:eastAsia="Times New Roman" w:hAnsi="Times New Roman"/>
          <w:b/>
          <w:bCs/>
          <w:i w:val="false"/>
          <w:iCs w:val="false"/>
          <w:color w:val="000000"/>
          <w:sz w:val="24"/>
          <w:szCs w:val="24"/>
        </w:rPr>
        <w:t xml:space="preserve">$55 online; $70 by mail</w:t>
      </w:r>
      <w:r>
        <w:rPr>
          <w:rFonts w:ascii="Times New Roman" w:cs="Times New Roman" w:eastAsia="Times New Roman" w:hAnsi="Times New Roman"/>
          <w:b w:val="false"/>
          <w:bCs w:val="false"/>
          <w:i w:val="false"/>
          <w:iCs w:val="false"/>
          <w:color w:val="000000"/>
          <w:sz w:val="24"/>
          <w:szCs w:val="24"/>
        </w:rPr>
        <w:t xml:space="preserve">. Late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Reinstatement fee: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plus delinquent reports. [VERIFY due date directly with the SOS Business Search for your entity.]</w:t>
      </w:r>
    </w:p>
    <w:p>
      <w:pPr>
        <w:spacing w:after="60" w:before="120" w:line="276" w:lineRule="auto"/>
      </w:pPr>
      <w:r>
        <w:rPr>
          <w:rFonts w:ascii="Times New Roman" w:cs="Times New Roman" w:eastAsia="Times New Roman" w:hAnsi="Times New Roman"/>
          <w:b/>
          <w:bCs/>
          <w:color w:val="000000"/>
          <w:sz w:val="24"/>
          <w:szCs w:val="24"/>
        </w:rPr>
        <w:t xml:space="preserve">1.11  Tax Environment.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has </w:t>
      </w:r>
      <w:r>
        <w:rPr>
          <w:rFonts w:ascii="Times New Roman" w:cs="Times New Roman" w:eastAsia="Times New Roman" w:hAnsi="Times New Roman"/>
          <w:b/>
          <w:bCs/>
          <w:i w:val="false"/>
          <w:iCs w:val="false"/>
          <w:color w:val="000000"/>
          <w:sz w:val="24"/>
          <w:szCs w:val="24"/>
        </w:rPr>
        <w:t xml:space="preserve">NO state personal income tax</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NO state corporate income tax</w:t>
      </w:r>
      <w:r>
        <w:rPr>
          <w:rFonts w:ascii="Times New Roman" w:cs="Times New Roman" w:eastAsia="Times New Roman" w:hAnsi="Times New Roman"/>
          <w:b w:val="false"/>
          <w:bCs w:val="false"/>
          <w:i w:val="false"/>
          <w:iCs w:val="false"/>
          <w:color w:val="000000"/>
          <w:sz w:val="24"/>
          <w:szCs w:val="24"/>
        </w:rPr>
        <w:t xml:space="preserve">. There is NO state franchise tax on LLCs. Ongoing state-level obligations focus on: (a) the annual report to the SOS; and (b) transaction-based taxes (sales and use tax, contractor excise, etc.) administered by the SD Department of Revenue where applicable. Federal classification: disregarded entity (single-member) or partnership (multi-member) by default; corporate treatment via Form 8832 or Form 2553.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FinCEN BOI: domestic U.S. entities, including domestic South Dakota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under the March 2025 interim final rule. Foreign entities should verify at fincen.gov/boi.</w:t>
      </w:r>
    </w:p>
    <w:p>
      <w:pPr>
        <w:spacing w:after="60" w:before="120" w:line="276" w:lineRule="auto"/>
      </w:pPr>
      <w:r>
        <w:rPr>
          <w:rFonts w:ascii="Times New Roman" w:cs="Times New Roman" w:eastAsia="Times New Roman" w:hAnsi="Times New Roman"/>
          <w:b/>
          <w:bCs/>
          <w:color w:val="000000"/>
          <w:sz w:val="24"/>
          <w:szCs w:val="24"/>
        </w:rPr>
        <w:t xml:space="preserve">1.12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does NOT impose a newspaper publication requirement for forming or maintaining a domestic LLC.</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South Dakota Uniform Limited Liability Company Act, Title 47, Chapter 34A,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w:t>
      </w:r>
      <w:r>
        <w:rPr>
          <w:rFonts w:ascii="Times New Roman" w:cs="Times New Roman" w:eastAsia="Times New Roman" w:hAnsi="Times New Roman"/>
          <w:b/>
          <w:bCs/>
          <w:i w:val="false"/>
          <w:iCs w:val="false"/>
          <w:color w:val="000000"/>
          <w:sz w:val="24"/>
          <w:szCs w:val="24"/>
        </w:rPr>
        <w:t xml:space="preserve">South Dakota Secretary of State</w:t>
      </w:r>
      <w:r>
        <w:rPr>
          <w:rFonts w:ascii="Times New Roman" w:cs="Times New Roman" w:eastAsia="Times New Roman" w:hAnsi="Times New Roman"/>
          <w:b w:val="false"/>
          <w:bCs w:val="false"/>
          <w:i w:val="false"/>
          <w:iCs w:val="false"/>
          <w:color w:val="000000"/>
          <w:sz w:val="24"/>
          <w:szCs w:val="24"/>
        </w:rPr>
        <w:t xml:space="preserve"> under SDCL § 47-34A-203,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"Distributional Interest" means the economic right to receive distributions under </w:t>
      </w:r>
      <w:r>
        <w:rPr>
          <w:rFonts w:ascii="Times New Roman" w:cs="Times New Roman" w:eastAsia="Times New Roman" w:hAnsi="Times New Roman"/>
          <w:b/>
          <w:bCs/>
          <w:i w:val="false"/>
          <w:iCs w:val="false"/>
          <w:color w:val="000000"/>
          <w:sz w:val="24"/>
          <w:szCs w:val="24"/>
        </w:rPr>
        <w:t xml:space="preserve">SDCL § 47-34A-503</w:t>
      </w:r>
      <w:r>
        <w:rPr>
          <w:rFonts w:ascii="Times New Roman" w:cs="Times New Roman" w:eastAsia="Times New Roman" w:hAnsi="Times New Roman"/>
          <w:b w:val="false"/>
          <w:bCs w:val="false"/>
          <w:i w:val="false"/>
          <w:iCs w:val="false"/>
          <w:color w:val="000000"/>
          <w:sz w:val="24"/>
          <w:szCs w:val="24"/>
        </w:rPr>
        <w:t xml:space="preserve">. Transfer of a distributional interest does NOT automatically confer member status or management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for a judgment creditor to reach a member's distributional interest. A charging-order holder receives distributions only and gains no management or member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"Excluded Manager" means a manager designated under </w:t>
      </w:r>
      <w:r>
        <w:rPr>
          <w:rFonts w:ascii="Times New Roman" w:cs="Times New Roman" w:eastAsia="Times New Roman" w:hAnsi="Times New Roman"/>
          <w:b/>
          <w:bCs/>
          <w:i w:val="false"/>
          <w:iCs w:val="false"/>
          <w:color w:val="000000"/>
          <w:sz w:val="24"/>
          <w:szCs w:val="24"/>
        </w:rPr>
        <w:t xml:space="preserve">SDCL § 47-34A-304</w:t>
      </w:r>
      <w:r>
        <w:rPr>
          <w:rFonts w:ascii="Times New Roman" w:cs="Times New Roman" w:eastAsia="Times New Roman" w:hAnsi="Times New Roman"/>
          <w:b w:val="false"/>
          <w:bCs w:val="false"/>
          <w:i w:val="false"/>
          <w:iCs w:val="false"/>
          <w:color w:val="000000"/>
          <w:sz w:val="24"/>
          <w:szCs w:val="24"/>
        </w:rPr>
        <w:t xml:space="preserve"> (added by HB 1106, 2023) whose duties are limited as specified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Contributions may be cash, property, or services with an agreed valuation stated in Exhibit 1 (consistent with SDCL § 47-34A-405).</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III.04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consistent with </w:t>
      </w:r>
      <w:r>
        <w:rPr>
          <w:rFonts w:ascii="Times New Roman" w:cs="Times New Roman" w:eastAsia="Times New Roman" w:hAnsi="Times New Roman"/>
          <w:b/>
          <w:bCs/>
          <w:i w:val="false"/>
          <w:iCs w:val="false"/>
          <w:color w:val="000000"/>
          <w:sz w:val="24"/>
          <w:szCs w:val="24"/>
        </w:rPr>
        <w:t xml:space="preserve">SDCL § 47-34A-405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Restrictions on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47-34A-405 and 47-34A-406</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the Company would be unable to pay its debts as they become due in the ordinary course. Members or managers who approve an improper distribution face </w:t>
      </w:r>
      <w:r>
        <w:rPr>
          <w:rFonts w:ascii="Times New Roman" w:cs="Times New Roman" w:eastAsia="Times New Roman" w:hAnsi="Times New Roman"/>
          <w:b/>
          <w:bCs/>
          <w:i w:val="false"/>
          <w:iCs w:val="false"/>
          <w:color w:val="000000"/>
          <w:sz w:val="24"/>
          <w:szCs w:val="24"/>
        </w:rPr>
        <w:t xml:space="preserve">strict personal liability</w:t>
      </w:r>
      <w:r>
        <w:rPr>
          <w:rFonts w:ascii="Times New Roman" w:cs="Times New Roman" w:eastAsia="Times New Roman" w:hAnsi="Times New Roman"/>
          <w:b w:val="false"/>
          <w:bCs w:val="false"/>
          <w:i w:val="false"/>
          <w:iCs w:val="false"/>
          <w:color w:val="000000"/>
          <w:sz w:val="24"/>
          <w:szCs w:val="24"/>
        </w:rPr>
        <w:t xml:space="preserve"> under § 47-34A-406.</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federal income tax liability attributable to Company income, before any discretionary distributions. NOTE: </w:t>
      </w:r>
      <w:r>
        <w:rPr>
          <w:rFonts w:ascii="Times New Roman" w:cs="Times New Roman" w:eastAsia="Times New Roman" w:hAnsi="Times New Roman"/>
          <w:b/>
          <w:bCs/>
          <w:i w:val="false"/>
          <w:iCs w:val="false"/>
          <w:color w:val="000000"/>
          <w:sz w:val="24"/>
          <w:szCs w:val="24"/>
        </w:rPr>
        <w:t xml:space="preserve">South Dakota has no state personal income tax</w:t>
      </w:r>
      <w:r>
        <w:rPr>
          <w:rFonts w:ascii="Times New Roman" w:cs="Times New Roman" w:eastAsia="Times New Roman" w:hAnsi="Times New Roman"/>
          <w:b w:val="false"/>
          <w:bCs w:val="false"/>
          <w:i w:val="false"/>
          <w:iCs w:val="false"/>
          <w:color w:val="000000"/>
          <w:sz w:val="24"/>
          <w:szCs w:val="24"/>
        </w:rPr>
        <w:t xml:space="preserve">, so no state income tax distribution reserve is required.</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47-34A-203(a)(6)</w:t>
      </w:r>
      <w:r>
        <w:rPr>
          <w:rFonts w:ascii="Times New Roman" w:cs="Times New Roman" w:eastAsia="Times New Roman" w:hAnsi="Times New Roman"/>
          <w:b w:val="false"/>
          <w:bCs w:val="false"/>
          <w:i w:val="false"/>
          <w:iCs w:val="false"/>
          <w:color w:val="000000"/>
          <w:sz w:val="24"/>
          <w:szCs w:val="24"/>
        </w:rPr>
        <w:t xml:space="preserve">, an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 unless the Articles expressly state it is manager-managed. This Company's Articles do not designate managers; the Company is member-managed. Each Member has equal rights in management under § 47-34A-404.1.</w:t>
      </w:r>
    </w:p>
    <w:p>
      <w:pPr>
        <w:spacing w:after="60" w:before="120" w:line="276" w:lineRule="auto"/>
      </w:pPr>
      <w:r>
        <w:rPr>
          <w:rFonts w:ascii="Times New Roman" w:cs="Times New Roman" w:eastAsia="Times New Roman" w:hAnsi="Times New Roman"/>
          <w:b/>
          <w:bCs/>
          <w:color w:val="000000"/>
          <w:sz w:val="24"/>
          <w:szCs w:val="24"/>
        </w:rPr>
        <w:t xml:space="preserve">V.02  Voting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in a member-managed LLC, ordinary matters are decided by a </w:t>
      </w:r>
      <w:r>
        <w:rPr>
          <w:rFonts w:ascii="Times New Roman" w:cs="Times New Roman" w:eastAsia="Times New Roman" w:hAnsi="Times New Roman"/>
          <w:b/>
          <w:bCs/>
          <w:i w:val="false"/>
          <w:iCs w:val="false"/>
          <w:color w:val="000000"/>
          <w:sz w:val="24"/>
          <w:szCs w:val="24"/>
        </w:rPr>
        <w:t xml:space="preserve">MAJORITY OF MEMBERS</w:t>
      </w:r>
      <w:r>
        <w:rPr>
          <w:rFonts w:ascii="Times New Roman" w:cs="Times New Roman" w:eastAsia="Times New Roman" w:hAnsi="Times New Roman"/>
          <w:b w:val="false"/>
          <w:bCs w:val="false"/>
          <w:i w:val="false"/>
          <w:iCs w:val="false"/>
          <w:color w:val="000000"/>
          <w:sz w:val="24"/>
          <w:szCs w:val="24"/>
        </w:rPr>
        <w:t xml:space="preserve">.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regardless of capital contribution by default. </w:t>
      </w:r>
      <w:r>
        <w:rPr>
          <w:rFonts w:ascii="Times New Roman" w:cs="Times New Roman" w:eastAsia="Times New Roman" w:hAnsi="Times New Roman"/>
          <w:b/>
          <w:bCs/>
          <w:i w:val="false"/>
          <w:iCs w:val="false"/>
          <w:color w:val="000000"/>
          <w:sz w:val="24"/>
          <w:szCs w:val="24"/>
        </w:rPr>
        <w:t xml:space="preserve">SOUTH DAKOTA TRAP</w:t>
      </w:r>
      <w:r>
        <w:rPr>
          <w:rFonts w:ascii="Times New Roman" w:cs="Times New Roman" w:eastAsia="Times New Roman" w:hAnsi="Times New Roman"/>
          <w:b w:val="false"/>
          <w:bCs w:val="false"/>
          <w:i w:val="false"/>
          <w:iCs w:val="false"/>
          <w:color w:val="000000"/>
          <w:sz w:val="24"/>
          <w:szCs w:val="24"/>
        </w:rPr>
        <w:t xml:space="preserve">: A member contributing $200,000 has the same default management vote as one contributing $20,000. This Agreement overrides that default. Elected voting basis: </w:t>
      </w:r>
      <w:r>
        <w:rPr>
          <w:rFonts w:ascii="Times New Roman" w:cs="Times New Roman" w:eastAsia="Times New Roman" w:hAnsi="Times New Roman"/>
          <w:b/>
          <w:bCs/>
          <w:color w:val="990000"/>
          <w:sz w:val="24"/>
          <w:szCs w:val="24"/>
        </w:rPr>
        <w:t xml:space="preserve">[By Ownership % (override) / Per capita equal (default) / Other]</w:t>
      </w:r>
    </w:p>
    <w:p>
      <w:pPr>
        <w:spacing w:after="60" w:before="120" w:line="276" w:lineRule="auto"/>
      </w:pPr>
      <w:r>
        <w:rPr>
          <w:rFonts w:ascii="Times New Roman" w:cs="Times New Roman" w:eastAsia="Times New Roman" w:hAnsi="Times New Roman"/>
          <w:b/>
          <w:bCs/>
          <w:color w:val="000000"/>
          <w:sz w:val="24"/>
          <w:szCs w:val="24"/>
        </w:rPr>
        <w:t xml:space="preserve">V.03  Actions Requiring Unanimous 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absent contrary provision: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Making certain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Sale of substantially all of the Company's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Dissolution of the Company.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(default) / two-thirds / other]</w:t>
      </w:r>
    </w:p>
    <w:p>
      <w:pPr>
        <w:spacing w:after="60" w:before="120" w:line="276" w:lineRule="auto"/>
      </w:pPr>
      <w:r>
        <w:rPr>
          <w:rFonts w:ascii="Times New Roman" w:cs="Times New Roman" w:eastAsia="Times New Roman" w:hAnsi="Times New Roman"/>
          <w:b/>
          <w:bCs/>
          <w:color w:val="000000"/>
          <w:sz w:val="24"/>
          <w:szCs w:val="24"/>
        </w:rPr>
        <w:t xml:space="preserve">V.04  Fiduciary Duties (§ 47-34A-409).</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47-34A-409</w:t>
      </w:r>
      <w:r>
        <w:rPr>
          <w:rFonts w:ascii="Times New Roman" w:cs="Times New Roman" w:eastAsia="Times New Roman" w:hAnsi="Times New Roman"/>
          <w:b w:val="false"/>
          <w:bCs w:val="false"/>
          <w:i w:val="false"/>
          <w:iCs w:val="false"/>
          <w:color w:val="000000"/>
          <w:sz w:val="24"/>
          <w:szCs w:val="24"/>
        </w:rPr>
        <w:t xml:space="preserve">, Members owe: (a)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(b) a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and (c) an </w:t>
      </w:r>
      <w:r>
        <w:rPr>
          <w:rFonts w:ascii="Times New Roman" w:cs="Times New Roman" w:eastAsia="Times New Roman" w:hAnsi="Times New Roman"/>
          <w:b/>
          <w:bCs/>
          <w:i w:val="false"/>
          <w:iCs w:val="false"/>
          <w:color w:val="000000"/>
          <w:sz w:val="24"/>
          <w:szCs w:val="24"/>
        </w:rPr>
        <w:t xml:space="preserve">OBLIGATION OF GOOD FAITH AND FAIR DEALING</w:t>
      </w:r>
      <w:r>
        <w:rPr>
          <w:rFonts w:ascii="Times New Roman" w:cs="Times New Roman" w:eastAsia="Times New Roman" w:hAnsi="Times New Roman"/>
          <w:b w:val="false"/>
          <w:bCs w:val="false"/>
          <w:i w:val="false"/>
          <w:iCs w:val="false"/>
          <w:color w:val="000000"/>
          <w:sz w:val="24"/>
          <w:szCs w:val="24"/>
        </w:rPr>
        <w:t xml:space="preserve">. This Agreement may identify categories of permitted activities and set standards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These duties CANNOT be eliminated (§ 47-34A-103(b)).</w:t>
      </w:r>
    </w:p>
    <w:p>
      <w:pPr>
        <w:spacing w:after="60" w:before="120" w:line="276" w:lineRule="auto"/>
      </w:pPr>
      <w:r>
        <w:rPr>
          <w:rFonts w:ascii="Times New Roman" w:cs="Times New Roman" w:eastAsia="Times New Roman" w:hAnsi="Times New Roman"/>
          <w:b/>
          <w:bCs/>
          <w:color w:val="000000"/>
          <w:sz w:val="24"/>
          <w:szCs w:val="24"/>
        </w:rPr>
        <w:t xml:space="preserve">V.05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47-34A-303</w:t>
      </w:r>
      <w:r>
        <w:rPr>
          <w:rFonts w:ascii="Times New Roman" w:cs="Times New Roman" w:eastAsia="Times New Roman" w:hAnsi="Times New Roman"/>
          <w:b w:val="false"/>
          <w:bCs w:val="false"/>
          <w:i w:val="false"/>
          <w:iCs w:val="false"/>
          <w:color w:val="000000"/>
          <w:sz w:val="24"/>
          <w:szCs w:val="24"/>
        </w:rPr>
        <w:t xml:space="preserve">, Members are not personally liable for the Company's debts solely because of their membership status.</w:t>
      </w:r>
    </w:p>
    <w:p>
      <w:pPr>
        <w:spacing w:after="60" w:before="120" w:line="276" w:lineRule="auto"/>
      </w:pPr>
      <w:r>
        <w:rPr>
          <w:rFonts w:ascii="Times New Roman" w:cs="Times New Roman" w:eastAsia="Times New Roman" w:hAnsi="Times New Roman"/>
          <w:b/>
          <w:bCs/>
          <w:color w:val="000000"/>
          <w:sz w:val="24"/>
          <w:szCs w:val="24"/>
        </w:rPr>
        <w:t xml:space="preserve">V.06  Charging Order (§ 47-34A-504).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for a judgment creditor against a Member's distributional interest. A charging-order holder receives distributions only and gains NO management or member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Distributional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47-34A-503</w:t>
      </w:r>
      <w:r>
        <w:rPr>
          <w:rFonts w:ascii="Times New Roman" w:cs="Times New Roman" w:eastAsia="Times New Roman" w:hAnsi="Times New Roman"/>
          <w:b w:val="false"/>
          <w:bCs w:val="false"/>
          <w:i w:val="false"/>
          <w:iCs w:val="false"/>
          <w:color w:val="000000"/>
          <w:sz w:val="24"/>
          <w:szCs w:val="24"/>
        </w:rPr>
        <w:t xml:space="preserve">, a Member may transfer a distributional interest. A transferee does NOT automatically: become a Member; gain management or voting rights; or access Company records. The transferee receives distributions only.</w:t>
      </w:r>
    </w:p>
    <w:p>
      <w:pPr>
        <w:spacing w:after="60" w:before="120" w:line="276" w:lineRule="auto"/>
      </w:pPr>
      <w:r>
        <w:rPr>
          <w:rFonts w:ascii="Times New Roman" w:cs="Times New Roman" w:eastAsia="Times New Roman" w:hAnsi="Times New Roman"/>
          <w:b/>
          <w:bCs/>
          <w:color w:val="000000"/>
          <w:sz w:val="24"/>
          <w:szCs w:val="24"/>
        </w:rPr>
        <w:t xml:space="preserve">VI.02  Admission of Transferee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admission requires unanimous member consent absent a contrary provision. Elected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w:t>
      </w:r>
      <w:r>
        <w:rPr>
          <w:rFonts w:ascii="Times New Roman" w:cs="Times New Roman" w:eastAsia="Times New Roman" w:hAnsi="Times New Roman"/>
          <w:b/>
          <w:bCs/>
          <w:i w:val="false"/>
          <w:iCs w:val="false"/>
          <w:color w:val="000000"/>
          <w:sz w:val="24"/>
          <w:szCs w:val="24"/>
        </w:rPr>
        <w:t xml:space="preserve">SDCL § 47-34A-601(6)</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VI.06  Charging Order Protection (§ 47-34A-504).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charging order is the </w:t>
      </w:r>
      <w:r>
        <w:rPr>
          <w:rFonts w:ascii="Times New Roman" w:cs="Times New Roman" w:eastAsia="Times New Roman" w:hAnsi="Times New Roman"/>
          <w:b/>
          <w:bCs/>
          <w:i w:val="false"/>
          <w:iCs w:val="false"/>
          <w:color w:val="000000"/>
          <w:sz w:val="24"/>
          <w:szCs w:val="24"/>
        </w:rPr>
        <w:t xml:space="preserve">EXCLUSIVE REMEDY</w:t>
      </w:r>
      <w:r>
        <w:rPr>
          <w:rFonts w:ascii="Times New Roman" w:cs="Times New Roman" w:eastAsia="Times New Roman" w:hAnsi="Times New Roman"/>
          <w:b w:val="false"/>
          <w:bCs w:val="false"/>
          <w:i w:val="false"/>
          <w:iCs w:val="false"/>
          <w:color w:val="000000"/>
          <w:sz w:val="24"/>
          <w:szCs w:val="24"/>
        </w:rPr>
        <w:t xml:space="preserve"> for a judgment creditor against a Member's distributional interest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No transferee — including a charging-order holder — automatically becomes a Member without admission under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admission of a new member requires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absent contrary provision. Elected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7.02  South Dakota Default Warning.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TRAP: 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w:t>
      </w:r>
      <w:r>
        <w:rPr>
          <w:rFonts w:ascii="Times New Roman" w:cs="Times New Roman" w:eastAsia="Times New Roman" w:hAnsi="Times New Roman"/>
          <w:b/>
          <w:bCs/>
          <w:i w:val="false"/>
          <w:iCs w:val="false"/>
          <w:color w:val="000000"/>
          <w:sz w:val="24"/>
          <w:szCs w:val="24"/>
        </w:rPr>
        <w:t xml:space="preserve">REGARDLESS of capital contribution</w:t>
      </w:r>
      <w:r>
        <w:rPr>
          <w:rFonts w:ascii="Times New Roman" w:cs="Times New Roman" w:eastAsia="Times New Roman" w:hAnsi="Times New Roman"/>
          <w:b w:val="false"/>
          <w:bCs w:val="false"/>
          <w:i w:val="false"/>
          <w:iCs w:val="false"/>
          <w:color w:val="000000"/>
          <w:sz w:val="24"/>
          <w:szCs w:val="24"/>
        </w:rPr>
        <w:t xml:space="preserve"> by default. A member contributing $200,000 has the same management vote as one contributing $20,000 without a contrary provision. This Agreement overrides that default in Section V.02. Always tie management votes to Ownership Interest % in multi-member LLCs where contributions are unequal.</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47-34A-303</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obligations, or liabilities solely because of their membership or management status.</w:t>
      </w:r>
    </w:p>
    <w:p>
      <w:pPr>
        <w:spacing w:after="60" w:before="120" w:line="276" w:lineRule="auto"/>
      </w:pPr>
      <w:r>
        <w:rPr>
          <w:rFonts w:ascii="Times New Roman" w:cs="Times New Roman" w:eastAsia="Times New Roman" w:hAnsi="Times New Roman"/>
          <w:b/>
          <w:bCs/>
          <w:color w:val="000000"/>
          <w:sz w:val="24"/>
          <w:szCs w:val="24"/>
        </w:rPr>
        <w:t xml:space="preserve">VIII.02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for acts taken in good faith in the best interests of the Company. No indemnification is permitted for acts that violate </w:t>
      </w:r>
      <w:r>
        <w:rPr>
          <w:rFonts w:ascii="Times New Roman" w:cs="Times New Roman" w:eastAsia="Times New Roman" w:hAnsi="Times New Roman"/>
          <w:b/>
          <w:bCs/>
          <w:i w:val="false"/>
          <w:iCs w:val="false"/>
          <w:color w:val="000000"/>
          <w:sz w:val="24"/>
          <w:szCs w:val="24"/>
        </w:rPr>
        <w:t xml:space="preserve">SDCL § 47-34A-103(b)</w:t>
      </w:r>
      <w:r>
        <w:rPr>
          <w:rFonts w:ascii="Times New Roman" w:cs="Times New Roman" w:eastAsia="Times New Roman" w:hAnsi="Times New Roman"/>
          <w:b w:val="false"/>
          <w:bCs w:val="false"/>
          <w:i w:val="false"/>
          <w:iCs w:val="false"/>
          <w:color w:val="000000"/>
          <w:sz w:val="24"/>
          <w:szCs w:val="24"/>
        </w:rPr>
        <w:t xml:space="preserve"> or § 47-34A-409.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Fiduciary Duty Floor (§ 47-34A-103(b)).</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duty of loyalty, obligation of good faith and fair dealing, and other non-waivable protections in </w:t>
      </w:r>
      <w:r>
        <w:rPr>
          <w:rFonts w:ascii="Times New Roman" w:cs="Times New Roman" w:eastAsia="Times New Roman" w:hAnsi="Times New Roman"/>
          <w:b/>
          <w:bCs/>
          <w:i w:val="false"/>
          <w:iCs w:val="false"/>
          <w:color w:val="000000"/>
          <w:sz w:val="24"/>
          <w:szCs w:val="24"/>
        </w:rPr>
        <w:t xml:space="preserve">SDCL § 47-34A-103(b)</w:t>
      </w:r>
      <w:r>
        <w:rPr>
          <w:rFonts w:ascii="Times New Roman" w:cs="Times New Roman" w:eastAsia="Times New Roman" w:hAnsi="Times New Roman"/>
          <w:b w:val="false"/>
          <w:bCs w:val="false"/>
          <w:i w:val="false"/>
          <w:iCs w:val="false"/>
          <w:color w:val="000000"/>
          <w:sz w:val="24"/>
          <w:szCs w:val="24"/>
        </w:rPr>
        <w:t xml:space="preserve"> cannot be eliminated. Any modification must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 under § 47-34A-409.</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(SDCL § 47-34A-801):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 (e.g., term expiration, milestone).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Unanimous written member consent to wind up.</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dissolution on specified grounds.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Administrative dissolution by the SOS for failure to file annual reports.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This Agreement CANNOT override the duty to wind up in cases under </w:t>
      </w:r>
      <w:r>
        <w:rPr>
          <w:rFonts w:ascii="Times New Roman" w:cs="Times New Roman" w:eastAsia="Times New Roman" w:hAnsi="Times New Roman"/>
          <w:b/>
          <w:bCs/>
          <w:i w:val="false"/>
          <w:iCs w:val="false"/>
          <w:color w:val="000000"/>
          <w:sz w:val="24"/>
          <w:szCs w:val="24"/>
        </w:rPr>
        <w:t xml:space="preserve">SDCL § 47-34A-801(a)(3) and (4)</w:t>
      </w:r>
      <w:r>
        <w:rPr>
          <w:rFonts w:ascii="Times New Roman" w:cs="Times New Roman" w:eastAsia="Times New Roman" w:hAnsi="Times New Roman"/>
          <w:b w:val="false"/>
          <w:bCs w:val="false"/>
          <w:i w:val="false"/>
          <w:iCs w:val="false"/>
          <w:color w:val="000000"/>
          <w:sz w:val="24"/>
          <w:szCs w:val="24"/>
        </w:rPr>
        <w:t xml:space="preserve">. Elected voluntary dissolution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IX.02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Articles of Dissolution / Termination with the SOS.</w:t>
      </w:r>
    </w:p>
    <w:p>
      <w:pPr>
        <w:spacing w:after="60" w:before="120" w:line="276" w:lineRule="auto"/>
      </w:pPr>
      <w:r>
        <w:rPr>
          <w:rFonts w:ascii="Times New Roman" w:cs="Times New Roman" w:eastAsia="Times New Roman" w:hAnsi="Times New Roman"/>
          <w:b/>
          <w:bCs/>
          <w:color w:val="000000"/>
          <w:sz w:val="24"/>
          <w:szCs w:val="24"/>
        </w:rPr>
        <w:t xml:space="preserve">IX.03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[Mediation / arbitration / South Dakota circuit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UNANIMOUS member consent</w:t>
      </w:r>
      <w:r>
        <w:rPr>
          <w:rFonts w:ascii="Times New Roman" w:cs="Times New Roman" w:eastAsia="Times New Roman" w:hAnsi="Times New Roman"/>
          <w:b w:val="false"/>
          <w:bCs w:val="false"/>
          <w:i w:val="false"/>
          <w:iCs w:val="false"/>
          <w:color w:val="000000"/>
          <w:sz w:val="24"/>
          <w:szCs w:val="24"/>
        </w:rPr>
        <w:t xml:space="preserve"> absent contrary provision. Elected threshold: </w:t>
      </w:r>
      <w:r>
        <w:rPr>
          <w:rFonts w:ascii="Times New Roman" w:cs="Times New Roman" w:eastAsia="Times New Roman" w:hAnsi="Times New Roman"/>
          <w:b/>
          <w:bCs/>
          <w:color w:val="990000"/>
          <w:sz w:val="24"/>
          <w:szCs w:val="24"/>
        </w:rPr>
        <w:t xml:space="preserve">[Unanimous (default)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X.02  Written Amendments Recommended.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SDCL § 47-34A-103(a)</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should be IN WRITING and signed by the required threshold of Members.</w:t>
      </w:r>
    </w:p>
    <w:p>
      <w:pPr>
        <w:spacing w:after="60" w:before="120" w:line="276" w:lineRule="auto"/>
      </w:pPr>
      <w:r>
        <w:rPr>
          <w:rFonts w:ascii="Times New Roman" w:cs="Times New Roman" w:eastAsia="Times New Roman" w:hAnsi="Times New Roman"/>
          <w:b/>
          <w:bCs/>
          <w:color w:val="000000"/>
          <w:sz w:val="24"/>
          <w:szCs w:val="24"/>
        </w:rPr>
        <w:t xml:space="preserve">X.03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affecting the management structure (member-managed vs. manager-managed) may require filing an amendment to the Articles of Organization with the SOS under </w:t>
      </w:r>
      <w:r>
        <w:rPr>
          <w:rFonts w:ascii="Times New Roman" w:cs="Times New Roman" w:eastAsia="Times New Roman" w:hAnsi="Times New Roman"/>
          <w:b/>
          <w:bCs/>
          <w:i w:val="false"/>
          <w:iCs w:val="false"/>
          <w:color w:val="000000"/>
          <w:sz w:val="24"/>
          <w:szCs w:val="24"/>
        </w:rPr>
        <w:t xml:space="preserve">SDCL § 47-34A-203</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South Dakota, specifically the South Dakota Uniform Limited Liability Company Act, Title 47, Chapter 34A.</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South Dakota circuit court]</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South Dakota law does not require notarization.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South Dakota law does not require notarization. NOT filed with the SOS. Annual report: $55 online / $70 paper (as of July 1, 2025).</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SD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Without contrary provision, </w:t>
      </w:r>
      <w:r>
        <w:rPr>
          <w:rFonts w:ascii="Times New Roman" w:cs="Times New Roman" w:eastAsia="Times New Roman" w:hAnsi="Times New Roman"/>
          <w:b/>
          <w:bCs/>
          <w:i w:val="false"/>
          <w:iCs w:val="false"/>
          <w:color w:val="000000"/>
          <w:sz w:val="24"/>
          <w:szCs w:val="24"/>
        </w:rPr>
        <w:t xml:space="preserve">SDCL § 47-34A-404.1</w:t>
      </w:r>
      <w:r>
        <w:rPr>
          <w:rFonts w:ascii="Times New Roman" w:cs="Times New Roman" w:eastAsia="Times New Roman" w:hAnsi="Times New Roman"/>
          <w:b w:val="false"/>
          <w:bCs w:val="false"/>
          <w:i w:val="false"/>
          <w:iCs w:val="false"/>
          <w:color w:val="000000"/>
          <w:sz w:val="24"/>
          <w:szCs w:val="24"/>
        </w:rPr>
        <w:t xml:space="preserve"> gives each member EQUAL management rights regardless of capital. Voting basis overrides that default (see Section V.02). Charging order is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w:t>
      </w:r>
      <w:r>
        <w:rPr>
          <w:rFonts w:ascii="Times New Roman" w:cs="Times New Roman" w:eastAsia="Times New Roman" w:hAnsi="Times New Roman"/>
          <w:b/>
          <w:bCs/>
          <w:i w:val="false"/>
          <w:iCs w:val="false"/>
          <w:color w:val="000000"/>
          <w:sz w:val="24"/>
          <w:szCs w:val="24"/>
        </w:rPr>
        <w:t xml:space="preserve">SDCL § 47-34A-504</w:t>
      </w:r>
      <w:r>
        <w:rPr>
          <w:rFonts w:ascii="Times New Roman" w:cs="Times New Roman" w:eastAsia="Times New Roman" w:hAnsi="Times New Roman"/>
          <w:b w:val="false"/>
          <w:bCs w:val="false"/>
          <w:i w:val="false"/>
          <w:iCs w:val="false"/>
          <w:color w:val="000000"/>
          <w:sz w:val="24"/>
          <w:szCs w:val="24"/>
        </w:rPr>
        <w:t xml:space="preserve">). No SD state income tax.</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South Dakota limited liability company is provided by Boost Suite for informational and educational purposes only. It does not constitute legal advice and does not create an attorney-client relationship. Boost Suite is not a law firm. This template is based on the South Dakota Uniform Limited Liability Company Act, Title 47, Chapter 34A, including SDCL §§ 47-34A-103, 47-34A-203, 47-34A-211, 47-34A-303, 47-34A-304, 47-34A-401, 47-34A-404.1, 47-34A-405, 47-34A-406, 47-34A-409, 47-34A-503, 47-34A-504, 47-34A-601, 47-34A-702, and 47-34A-801, as amended by HB 1106 (Chapter 233, 2023 session). Laws change; Boost Suite does not guarantee that this template reflects the most current version of South Dakota law.</w:t>
      </w:r>
    </w:p>
    <w:p>
      <w:r>
        <w:br/>
      </w:r>
    </w:p>
    <w:p>
      <w:pPr>
        <w:spacing w:after="80" w:before="0" w:line="276" w:lineRule="auto"/>
      </w:pPr>
      <w:r>
        <w:rPr>
          <w:rFonts w:ascii="Times New Roman" w:cs="Times New Roman" w:eastAsia="Times New Roman" w:hAnsi="Times New Roman"/>
          <w:b/>
          <w:bCs/>
          <w:sz w:val="24"/>
          <w:szCs w:val="24"/>
        </w:rPr>
        <w:t xml:space="preserve">Your South Dakota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fmbl32qnm2d0sscmdy9eq">
        <w:r>
          <w:rPr>
            <w:rFonts w:ascii="Times New Roman" w:cs="Times New Roman" w:eastAsia="Times New Roman" w:hAnsi="Times New Roman"/>
            <w:color w:val="0000CC"/>
            <w:sz w:val="24"/>
            <w:szCs w:val="24"/>
            <w:u w:val="single"/>
          </w:rPr>
          <w:t xml:space="preserve">https://boostsuite.com/llc-operating-agreement/south-dakota/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mp0gcgwamw-swkj9mp0d4">
        <w:r>
          <w:rPr>
            <w:rFonts w:ascii="Times New Roman" w:cs="Times New Roman" w:eastAsia="Times New Roman" w:hAnsi="Times New Roman"/>
            <w:color w:val="0000CC"/>
            <w:sz w:val="24"/>
            <w:szCs w:val="24"/>
            <w:u w:val="single"/>
          </w:rPr>
          <w:t xml:space="preserve">https://boostsuite.com/how-to-start-an-llc/south-dakota/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ra7bhrmoblvgmlkh1rzqo">
        <w:r>
          <w:rPr>
            <w:rFonts w:ascii="Times New Roman" w:cs="Times New Roman" w:eastAsia="Times New Roman" w:hAnsi="Times New Roman"/>
            <w:color w:val="0000CC"/>
            <w:sz w:val="24"/>
            <w:szCs w:val="24"/>
            <w:u w:val="single"/>
          </w:rPr>
          <w:t xml:space="preserve">https://boostsuite.com/how-to-start-an-llc/cost/south-dakota/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mbl32qnm2d0sscmdy9eq" Type="http://schemas.openxmlformats.org/officeDocument/2006/relationships/hyperlink" Target="https://boostsuite.com/llc-operating-agreement/south-dakota/" TargetMode="External"/><Relationship Id="rIdmp0gcgwamw-swkj9mp0d4" Type="http://schemas.openxmlformats.org/officeDocument/2006/relationships/hyperlink" Target="https://boostsuite.com/how-to-start-an-llc/south-dakota/" TargetMode="External"/><Relationship Id="rIdra7bhrmoblvgmlkh1rzqo" Type="http://schemas.openxmlformats.org/officeDocument/2006/relationships/hyperlink" Target="https://boostsuite.com/how-to-start-an-llc/cost/south-dakot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2026-04-28T03:30:52.527Z</dcterms:created>
  <dcterms:modified xsi:type="dcterms:W3CDTF">2026-04-28T03:30:52.527Z</dcterms:modified>
</cp:coreProperties>
</file>

<file path=docProps/custom.xml><?xml version="1.0" encoding="utf-8"?>
<Properties xmlns="http://schemas.openxmlformats.org/officeDocument/2006/custom-properties" xmlns:vt="http://schemas.openxmlformats.org/officeDocument/2006/docPropsVTypes"/>
</file>