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OHIO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Ohio Revised Limited Liability Company Act, Ohio Revised Code Chapter 1706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Ohio Revised Limited Liability Company Act, Ohio Revised Code Chapter 1706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ORC § 1706.83</w:t>
      </w:r>
      <w:r>
        <w:rPr>
          <w:rFonts w:ascii="Times New Roman" w:cs="Times New Roman" w:eastAsia="Times New Roman" w:hAnsi="Times New Roman"/>
          <w:b w:val="false"/>
          <w:bCs w:val="false"/>
          <w:i w:val="false"/>
          <w:iCs w:val="false"/>
          <w:color w:val="000000"/>
          <w:sz w:val="24"/>
          <w:szCs w:val="24"/>
        </w:rPr>
        <w:t xml:space="preserve"> states that Chapter 1706 governs all Ohio LLCs on and after February 11, 2022. Former Chapter 1705 is obsolete.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610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t>
      </w:r>
      <w:r>
        <w:rPr>
          <w:rFonts w:ascii="Times New Roman" w:cs="Times New Roman" w:eastAsia="Times New Roman" w:hAnsi="Times New Roman"/>
          <w:b/>
          <w:bCs/>
          <w:i w:val="false"/>
          <w:iCs w:val="false"/>
          <w:color w:val="000000"/>
          <w:sz w:val="24"/>
          <w:szCs w:val="24"/>
        </w:rPr>
        <w:t xml:space="preserve">Form 610 (revised 09/25, replacing Form 533A)</w:t>
      </w:r>
      <w:r>
        <w:rPr>
          <w:rFonts w:ascii="Times New Roman" w:cs="Times New Roman" w:eastAsia="Times New Roman" w:hAnsi="Times New Roman"/>
          <w:b w:val="false"/>
          <w:bCs w:val="false"/>
          <w:i w:val="false"/>
          <w:iCs w:val="false"/>
          <w:color w:val="000000"/>
          <w:sz w:val="24"/>
          <w:szCs w:val="24"/>
        </w:rPr>
        <w:t xml:space="preserve">, with the Ohio Secretary of State through Ohio Business Central under ORC § 1706.16. Filing fee: </w:t>
      </w:r>
      <w:r>
        <w:rPr>
          <w:rFonts w:ascii="Times New Roman" w:cs="Times New Roman" w:eastAsia="Times New Roman" w:hAnsi="Times New Roman"/>
          <w:b/>
          <w:bCs/>
          <w:i w:val="false"/>
          <w:iCs w:val="false"/>
          <w:color w:val="000000"/>
          <w:sz w:val="24"/>
          <w:szCs w:val="24"/>
        </w:rPr>
        <w:t xml:space="preserve">$99</w:t>
      </w:r>
      <w:r>
        <w:rPr>
          <w:rFonts w:ascii="Times New Roman" w:cs="Times New Roman" w:eastAsia="Times New Roman" w:hAnsi="Times New Roman"/>
          <w:b w:val="false"/>
          <w:bCs w:val="false"/>
          <w:i w:val="false"/>
          <w:iCs w:val="false"/>
          <w:color w:val="000000"/>
          <w:sz w:val="24"/>
          <w:szCs w:val="24"/>
        </w:rPr>
        <w:t xml:space="preserve">. Standard processing: 3-7 business days. Expedited: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(2 days), </w:t>
      </w:r>
      <w:r>
        <w:rPr>
          <w:rFonts w:ascii="Times New Roman" w:cs="Times New Roman" w:eastAsia="Times New Roman" w:hAnsi="Times New Roman"/>
          <w:b/>
          <w:bCs/>
          <w:i w:val="false"/>
          <w:iCs w:val="false"/>
          <w:color w:val="000000"/>
          <w:sz w:val="24"/>
          <w:szCs w:val="24"/>
        </w:rPr>
        <w:t xml:space="preserve">$200</w:t>
      </w:r>
      <w:r>
        <w:rPr>
          <w:rFonts w:ascii="Times New Roman" w:cs="Times New Roman" w:eastAsia="Times New Roman" w:hAnsi="Times New Roman"/>
          <w:b w:val="false"/>
          <w:bCs w:val="false"/>
          <w:i w:val="false"/>
          <w:iCs w:val="false"/>
          <w:color w:val="000000"/>
          <w:sz w:val="24"/>
          <w:szCs w:val="24"/>
        </w:rPr>
        <w:t xml:space="preserve"> (1 day), </w:t>
      </w:r>
      <w:r>
        <w:rPr>
          <w:rFonts w:ascii="Times New Roman" w:cs="Times New Roman" w:eastAsia="Times New Roman" w:hAnsi="Times New Roman"/>
          <w:b/>
          <w:bCs/>
          <w:i w:val="false"/>
          <w:iCs w:val="false"/>
          <w:color w:val="000000"/>
          <w:sz w:val="24"/>
          <w:szCs w:val="24"/>
        </w:rPr>
        <w:t xml:space="preserve">$300</w:t>
      </w:r>
      <w:r>
        <w:rPr>
          <w:rFonts w:ascii="Times New Roman" w:cs="Times New Roman" w:eastAsia="Times New Roman" w:hAnsi="Times New Roman"/>
          <w:b w:val="false"/>
          <w:bCs w:val="false"/>
          <w:i w:val="false"/>
          <w:iCs w:val="false"/>
          <w:color w:val="000000"/>
          <w:sz w:val="24"/>
          <w:szCs w:val="24"/>
        </w:rPr>
        <w:t xml:space="preserve"> (4 hours). This Operating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 Oral; Sole-Member Declaration.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1706.01(R)</w:t>
      </w:r>
      <w:r>
        <w:rPr>
          <w:rFonts w:ascii="Times New Roman" w:cs="Times New Roman" w:eastAsia="Times New Roman" w:hAnsi="Times New Roman"/>
          <w:b w:val="false"/>
          <w:bCs w:val="false"/>
          <w:i w:val="false"/>
          <w:iCs w:val="false"/>
          <w:color w:val="000000"/>
          <w:sz w:val="24"/>
          <w:szCs w:val="24"/>
        </w:rPr>
        <w:t xml:space="preserve">, an operating agreement is any valid written or </w:t>
      </w:r>
      <w:r>
        <w:rPr>
          <w:rFonts w:ascii="Times New Roman" w:cs="Times New Roman" w:eastAsia="Times New Roman" w:hAnsi="Times New Roman"/>
          <w:b/>
          <w:bCs/>
          <w:i w:val="false"/>
          <w:iCs w:val="false"/>
          <w:color w:val="000000"/>
          <w:sz w:val="24"/>
          <w:szCs w:val="24"/>
        </w:rPr>
        <w:t xml:space="preserve">oral</w:t>
      </w:r>
      <w:r>
        <w:rPr>
          <w:rFonts w:ascii="Times New Roman" w:cs="Times New Roman" w:eastAsia="Times New Roman" w:hAnsi="Times New Roman"/>
          <w:b w:val="false"/>
          <w:bCs w:val="false"/>
          <w:i w:val="false"/>
          <w:iCs w:val="false"/>
          <w:color w:val="000000"/>
          <w:sz w:val="24"/>
          <w:szCs w:val="24"/>
        </w:rPr>
        <w:t xml:space="preserve"> agreement of the members, or any </w:t>
      </w:r>
      <w:r>
        <w:rPr>
          <w:rFonts w:ascii="Times New Roman" w:cs="Times New Roman" w:eastAsia="Times New Roman" w:hAnsi="Times New Roman"/>
          <w:b/>
          <w:bCs/>
          <w:i w:val="false"/>
          <w:iCs w:val="false"/>
          <w:color w:val="000000"/>
          <w:sz w:val="24"/>
          <w:szCs w:val="24"/>
        </w:rPr>
        <w:t xml:space="preserve">WRITTEN DECLARATION OF THE SOLE MEMBER</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ORC § 1706.08(A)</w:t>
      </w:r>
      <w:r>
        <w:rPr>
          <w:rFonts w:ascii="Times New Roman" w:cs="Times New Roman" w:eastAsia="Times New Roman" w:hAnsi="Times New Roman"/>
          <w:b w:val="false"/>
          <w:bCs w:val="false"/>
          <w:i w:val="false"/>
          <w:iCs w:val="false"/>
          <w:color w:val="000000"/>
          <w:sz w:val="24"/>
          <w:szCs w:val="24"/>
        </w:rPr>
        <w:t xml:space="preserve">, this Agreement governs relations among Members and the Company; if silent, Ohio Revised Code Chapter 1706 controls. A written agreement is required to modify fiduciary duties and establish series LLC provisions.</w:t>
      </w:r>
    </w:p>
    <w:p>
      <w:pPr>
        <w:spacing w:after="60" w:before="120" w:line="276" w:lineRule="auto"/>
      </w:pPr>
      <w:r>
        <w:rPr>
          <w:rFonts w:ascii="Times New Roman" w:cs="Times New Roman" w:eastAsia="Times New Roman" w:hAnsi="Times New Roman"/>
          <w:b/>
          <w:bCs/>
          <w:color w:val="000000"/>
          <w:sz w:val="24"/>
          <w:szCs w:val="24"/>
        </w:rPr>
        <w:t xml:space="preserve">1.05  Eight Non-Overridable Provisions (ORC § 1706.08(C)).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(1) vary the Company's separate legal entity status (§ 1706.04(A)); (2) restrict rights of non-members/dissociated/assignees beyond § 1706.082(B); (3) vary court power under § 1706.171; (4) </w:t>
      </w:r>
      <w:r>
        <w:rPr>
          <w:rFonts w:ascii="Times New Roman" w:cs="Times New Roman" w:eastAsia="Times New Roman" w:hAnsi="Times New Roman"/>
          <w:b/>
          <w:bCs/>
          <w:i w:val="false"/>
          <w:iCs w:val="false"/>
          <w:color w:val="000000"/>
          <w:sz w:val="24"/>
          <w:szCs w:val="24"/>
        </w:rPr>
        <w:t xml:space="preserve">ELIMINATE THE IMPLIED COVENANT OF GOOD FAITH AND FAIR DEALING</w:t>
      </w:r>
      <w:r>
        <w:rPr>
          <w:rFonts w:ascii="Times New Roman" w:cs="Times New Roman" w:eastAsia="Times New Roman" w:hAnsi="Times New Roman"/>
          <w:b w:val="false"/>
          <w:bCs w:val="false"/>
          <w:i w:val="false"/>
          <w:iCs w:val="false"/>
          <w:color w:val="000000"/>
          <w:sz w:val="24"/>
          <w:szCs w:val="24"/>
        </w:rPr>
        <w:t xml:space="preserve">; (5) eliminate/limit liability for bad-faith violations of that covenant; (6) waive § 1706.281(A) (contribution obligations); (7) waive § 1706.341(D) (bearer-form certificates); or (8) waive § 1706.761(B) (series LLC statement).</w:t>
      </w:r>
    </w:p>
    <w:p>
      <w:pPr>
        <w:spacing w:after="60" w:before="120" w:line="276" w:lineRule="auto"/>
      </w:pPr>
      <w:r>
        <w:rPr>
          <w:rFonts w:ascii="Times New Roman" w:cs="Times New Roman" w:eastAsia="Times New Roman" w:hAnsi="Times New Roman"/>
          <w:b/>
          <w:bCs/>
          <w:color w:val="000000"/>
          <w:sz w:val="24"/>
          <w:szCs w:val="24"/>
        </w:rPr>
        <w:t xml:space="preserve">1.06  Statutory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1706.09</w:t>
      </w:r>
      <w:r>
        <w:rPr>
          <w:rFonts w:ascii="Times New Roman" w:cs="Times New Roman" w:eastAsia="Times New Roman" w:hAnsi="Times New Roman"/>
          <w:b w:val="false"/>
          <w:bCs w:val="false"/>
          <w:i w:val="false"/>
          <w:iCs w:val="false"/>
          <w:color w:val="000000"/>
          <w:sz w:val="24"/>
          <w:szCs w:val="24"/>
        </w:rPr>
        <w:t xml:space="preserve"> (effective October 24, 2024, after SB 98), every Ohio LLC must maintain a statutory agent with an </w:t>
      </w:r>
      <w:r>
        <w:rPr>
          <w:rFonts w:ascii="Times New Roman" w:cs="Times New Roman" w:eastAsia="Times New Roman" w:hAnsi="Times New Roman"/>
          <w:b/>
          <w:bCs/>
          <w:i w:val="false"/>
          <w:iCs w:val="false"/>
          <w:color w:val="000000"/>
          <w:sz w:val="24"/>
          <w:szCs w:val="24"/>
        </w:rPr>
        <w:t xml:space="preserve">Ohio street address</w:t>
      </w:r>
      <w:r>
        <w:rPr>
          <w:rFonts w:ascii="Times New Roman" w:cs="Times New Roman" w:eastAsia="Times New Roman" w:hAnsi="Times New Roman"/>
          <w:b w:val="false"/>
          <w:bCs w:val="false"/>
          <w:i w:val="false"/>
          <w:iCs w:val="false"/>
          <w:color w:val="000000"/>
          <w:sz w:val="24"/>
          <w:szCs w:val="24"/>
        </w:rPr>
        <w:t xml:space="preserve"> (no P.O. boxes). The agent must be an Ohio-resident individual or eligible entity. A signed written acceptance must accompany original Articles of Organization. Agent name: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Agent address: </w:t>
      </w:r>
      <w:r>
        <w:rPr>
          <w:rFonts w:ascii="Times New Roman" w:cs="Times New Roman" w:eastAsia="Times New Roman" w:hAnsi="Times New Roman"/>
          <w:b/>
          <w:bCs/>
          <w:color w:val="990000"/>
          <w:sz w:val="24"/>
          <w:szCs w:val="24"/>
        </w:rPr>
        <w:t xml:space="preserve">[Street, City, OH ZIP — no P.O. Box]</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OH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 and Commercial Activity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ordinary LLCs generally do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file annual reports with the Ohio Secretary of State (verify at live Ohio SOS FAQ). Commercial Activity Tax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taxable gross receipts above exclusion; annual minimum eliminated since 2024; quarterly CAT returns. </w:t>
      </w:r>
      <w:r>
        <w:rPr>
          <w:rFonts w:ascii="Times New Roman" w:cs="Times New Roman" w:eastAsia="Times New Roman" w:hAnsi="Times New Roman"/>
          <w:b/>
          <w:bCs/>
          <w:i w:val="false"/>
          <w:iCs w:val="false"/>
          <w:color w:val="000000"/>
          <w:sz w:val="24"/>
          <w:szCs w:val="24"/>
        </w:rPr>
        <w:t xml:space="preserve">Any guide citing a $150,000 CAT threshold for 2025+ is outdated.</w:t>
      </w:r>
    </w:p>
    <w:p>
      <w:pPr>
        <w:spacing w:after="60" w:before="120" w:line="276" w:lineRule="auto"/>
      </w:pPr>
      <w:r>
        <w:rPr>
          <w:rFonts w:ascii="Times New Roman" w:cs="Times New Roman" w:eastAsia="Times New Roman" w:hAnsi="Times New Roman"/>
          <w:b/>
          <w:bCs/>
          <w:color w:val="000000"/>
          <w:sz w:val="24"/>
          <w:szCs w:val="24"/>
        </w:rPr>
        <w:t xml:space="preserve">1.10  No Formation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has no LLC formation publication requirement. </w:t>
      </w:r>
      <w:r>
        <w:rPr>
          <w:rFonts w:ascii="Times New Roman" w:cs="Times New Roman" w:eastAsia="Times New Roman" w:hAnsi="Times New Roman"/>
          <w:b/>
          <w:bCs/>
          <w:i w:val="false"/>
          <w:iCs w:val="false"/>
          <w:color w:val="000000"/>
          <w:sz w:val="24"/>
          <w:szCs w:val="24"/>
        </w:rPr>
        <w:t xml:space="preserve">ORC § 1706.474</w:t>
      </w:r>
      <w:r>
        <w:rPr>
          <w:rFonts w:ascii="Times New Roman" w:cs="Times New Roman" w:eastAsia="Times New Roman" w:hAnsi="Times New Roman"/>
          <w:b w:val="false"/>
          <w:bCs w:val="false"/>
          <w:i w:val="false"/>
          <w:iCs w:val="false"/>
          <w:color w:val="000000"/>
          <w:sz w:val="24"/>
          <w:szCs w:val="24"/>
        </w:rPr>
        <w:t xml:space="preserve"> applies only to dissolved LLCs seeking to limit creditor claims — not to formation.</w:t>
      </w:r>
    </w:p>
    <w:p>
      <w:pPr>
        <w:spacing w:after="60" w:before="120" w:line="276" w:lineRule="auto"/>
      </w:pPr>
      <w:r>
        <w:rPr>
          <w:rFonts w:ascii="Times New Roman" w:cs="Times New Roman" w:eastAsia="Times New Roman" w:hAnsi="Times New Roman"/>
          <w:b/>
          <w:bCs/>
          <w:color w:val="000000"/>
          <w:sz w:val="24"/>
          <w:szCs w:val="24"/>
        </w:rPr>
        <w:t xml:space="preserve">1.11  Series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1706.76</w:t>
      </w:r>
      <w:r>
        <w:rPr>
          <w:rFonts w:ascii="Times New Roman" w:cs="Times New Roman" w:eastAsia="Times New Roman" w:hAnsi="Times New Roman"/>
          <w:b w:val="false"/>
          <w:bCs w:val="false"/>
          <w:i w:val="false"/>
          <w:iCs w:val="false"/>
          <w:color w:val="000000"/>
          <w:sz w:val="24"/>
          <w:szCs w:val="24"/>
        </w:rPr>
        <w:t xml:space="preserve">, this Agreement may designate one or more separate asset series. Series limited liability requires compliance with </w:t>
      </w:r>
      <w:r>
        <w:rPr>
          <w:rFonts w:ascii="Times New Roman" w:cs="Times New Roman" w:eastAsia="Times New Roman" w:hAnsi="Times New Roman"/>
          <w:b/>
          <w:bCs/>
          <w:i w:val="false"/>
          <w:iCs w:val="false"/>
          <w:color w:val="000000"/>
          <w:sz w:val="24"/>
          <w:szCs w:val="24"/>
        </w:rPr>
        <w:t xml:space="preserve">ORC § 1706.761(B)</w:t>
      </w:r>
      <w:r>
        <w:rPr>
          <w:rFonts w:ascii="Times New Roman" w:cs="Times New Roman" w:eastAsia="Times New Roman" w:hAnsi="Times New Roman"/>
          <w:b w:val="false"/>
          <w:bCs w:val="false"/>
          <w:i w:val="false"/>
          <w:iCs w:val="false"/>
          <w:color w:val="000000"/>
          <w:sz w:val="24"/>
          <w:szCs w:val="24"/>
        </w:rPr>
        <w:t xml:space="preserve">. Series (if any): </w:t>
      </w:r>
      <w:r>
        <w:rPr>
          <w:rFonts w:ascii="Times New Roman" w:cs="Times New Roman" w:eastAsia="Times New Roman" w:hAnsi="Times New Roman"/>
          <w:b/>
          <w:bCs/>
          <w:color w:val="990000"/>
          <w:sz w:val="24"/>
          <w:szCs w:val="24"/>
        </w:rPr>
        <w:t xml:space="preserve">[Name each series or 'None']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Ohio Revised Limited Liability Company Act, Ohio Revised Code Chapter 1706, as amended. ORC § 1706.83: Chapter 1706 governs all Ohio LLCs since February 11, 2022. Former Chapter 1705 is obsolete.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(or sole-member written declaration), as amended per ORC § 1706.082.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610 (revised 09/25, replacing Form 533A), filed with the Ohio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 CRITICAL: a promise to contribute is enforceable </w:t>
      </w:r>
      <w:r>
        <w:rPr>
          <w:rFonts w:ascii="Times New Roman" w:cs="Times New Roman" w:eastAsia="Times New Roman" w:hAnsi="Times New Roman"/>
          <w:b/>
          <w:bCs/>
          <w:i w:val="false"/>
          <w:iCs w:val="false"/>
          <w:color w:val="000000"/>
          <w:sz w:val="24"/>
          <w:szCs w:val="24"/>
        </w:rPr>
        <w:t xml:space="preserve">ONLY</w:t>
      </w:r>
      <w:r>
        <w:rPr>
          <w:rFonts w:ascii="Times New Roman" w:cs="Times New Roman" w:eastAsia="Times New Roman" w:hAnsi="Times New Roman"/>
          <w:b w:val="false"/>
          <w:bCs w:val="false"/>
          <w:i w:val="false"/>
          <w:iCs w:val="false"/>
          <w:color w:val="000000"/>
          <w:sz w:val="24"/>
          <w:szCs w:val="24"/>
        </w:rPr>
        <w:t xml:space="preserve"> if in a SIGNED WRITING (ORC § 1706.281). Oral contribution commitments are not enforceable.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"Equal-Distribution Default" means the statutory rule under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that members share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in pre-dissolution distributions — NOT by ownership % or capital —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"Authority-to-Bind Rule" means </w:t>
      </w:r>
      <w:r>
        <w:rPr>
          <w:rFonts w:ascii="Times New Roman" w:cs="Times New Roman" w:eastAsia="Times New Roman" w:hAnsi="Times New Roman"/>
          <w:b/>
          <w:bCs/>
          <w:i w:val="false"/>
          <w:iCs w:val="false"/>
          <w:color w:val="000000"/>
          <w:sz w:val="24"/>
          <w:szCs w:val="24"/>
        </w:rPr>
        <w:t xml:space="preserve">ORC § 1706.18</w:t>
      </w:r>
      <w:r>
        <w:rPr>
          <w:rFonts w:ascii="Times New Roman" w:cs="Times New Roman" w:eastAsia="Times New Roman" w:hAnsi="Times New Roman"/>
          <w:b w:val="false"/>
          <w:bCs w:val="false"/>
          <w:i w:val="false"/>
          <w:iCs w:val="false"/>
          <w:color w:val="000000"/>
          <w:sz w:val="24"/>
          <w:szCs w:val="24"/>
        </w:rPr>
        <w:t xml:space="preserve">: NO person binds the LLC except as authorized by this Agreement, ORC § 1706.30(A), a statement of authority (§ 1706.19), or other law.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under ORC § 1706.342 for a judgment creditor to reach a member's membership interest. Distributions only; no governance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Contribution and Ownership Interest are in Exhibit 1. </w:t>
      </w:r>
      <w:r>
        <w:rPr>
          <w:rFonts w:ascii="Times New Roman" w:cs="Times New Roman" w:eastAsia="Times New Roman" w:hAnsi="Times New Roman"/>
          <w:b/>
          <w:bCs/>
          <w:i w:val="false"/>
          <w:iCs w:val="false"/>
          <w:color w:val="000000"/>
          <w:sz w:val="24"/>
          <w:szCs w:val="24"/>
        </w:rPr>
        <w:t xml:space="preserve">CRITICAL OHIO TRAP</w:t>
      </w:r>
      <w:r>
        <w:rPr>
          <w:rFonts w:ascii="Times New Roman" w:cs="Times New Roman" w:eastAsia="Times New Roman" w:hAnsi="Times New Roman"/>
          <w:b w:val="false"/>
          <w:bCs w:val="false"/>
          <w:i w:val="false"/>
          <w:iCs w:val="false"/>
          <w:color w:val="000000"/>
          <w:sz w:val="24"/>
          <w:szCs w:val="24"/>
        </w:rPr>
        <w:t xml:space="preserve">: Under ORC § 1706.29(A)(1), if this Agreement were silent, all members would share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in pre-dissolution distributions — NOT by ownership % or capital. A $180,000 contributor and a $20,000 contributor would split distributions 50/50 by default.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Contribution Obligations — Signed-Writing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1706.281(A)</w:t>
      </w:r>
      <w:r>
        <w:rPr>
          <w:rFonts w:ascii="Times New Roman" w:cs="Times New Roman" w:eastAsia="Times New Roman" w:hAnsi="Times New Roman"/>
          <w:b w:val="false"/>
          <w:bCs w:val="false"/>
          <w:i w:val="false"/>
          <w:iCs w:val="false"/>
          <w:color w:val="000000"/>
          <w:sz w:val="24"/>
          <w:szCs w:val="24"/>
        </w:rPr>
        <w:t xml:space="preserve">, a promise to make a contribution is enforceable ONLY if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Oral commitments to fund future rounds are NOT enforceable. All future obligations must be in a signed amendment.</w:t>
      </w:r>
    </w:p>
    <w:p>
      <w:pPr>
        <w:spacing w:after="60" w:before="120" w:line="276" w:lineRule="auto"/>
      </w:pPr>
      <w:r>
        <w:rPr>
          <w:rFonts w:ascii="Times New Roman" w:cs="Times New Roman" w:eastAsia="Times New Roman" w:hAnsi="Times New Roman"/>
          <w:b/>
          <w:bCs/>
          <w:color w:val="000000"/>
          <w:sz w:val="24"/>
          <w:szCs w:val="24"/>
        </w:rPr>
        <w:t xml:space="preserve">III.03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equal-distribution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all distributions, profits, and losses shall be allocated in proportion to each Member's Ownership Interest in Exhibit 1.</w:t>
      </w:r>
    </w:p>
    <w:p>
      <w:pPr>
        <w:spacing w:after="60" w:before="120" w:line="276" w:lineRule="auto"/>
      </w:pPr>
      <w:r>
        <w:rPr>
          <w:rFonts w:ascii="Times New Roman" w:cs="Times New Roman" w:eastAsia="Times New Roman" w:hAnsi="Times New Roman"/>
          <w:b/>
          <w:bCs/>
          <w:color w:val="000000"/>
          <w:sz w:val="24"/>
          <w:szCs w:val="24"/>
        </w:rPr>
        <w:t xml:space="preserve">III.04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III.05  No Member Remuneration Without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1706.30(E)</w:t>
      </w:r>
      <w:r>
        <w:rPr>
          <w:rFonts w:ascii="Times New Roman" w:cs="Times New Roman" w:eastAsia="Times New Roman" w:hAnsi="Times New Roman"/>
          <w:b w:val="false"/>
          <w:bCs w:val="false"/>
          <w:i w:val="false"/>
          <w:iCs w:val="false"/>
          <w:color w:val="000000"/>
          <w:sz w:val="24"/>
          <w:szCs w:val="24"/>
        </w:rPr>
        <w:t xml:space="preserve">, 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 1706.29(A)(1).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Ohio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Ohio Commercial Activity Tax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taxable gross receipts above exclusion; annual minimum eliminated since 2024; quarterly CAT returns. </w:t>
      </w:r>
      <w:r>
        <w:rPr>
          <w:rFonts w:ascii="Times New Roman" w:cs="Times New Roman" w:eastAsia="Times New Roman" w:hAnsi="Times New Roman"/>
          <w:b/>
          <w:bCs/>
          <w:i w:val="false"/>
          <w:iCs w:val="false"/>
          <w:color w:val="000000"/>
          <w:sz w:val="24"/>
          <w:szCs w:val="24"/>
        </w:rPr>
        <w:t xml:space="preserve">Any guide citing $150,000 as the 2025+ CAT threshold is outdated.</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 Direction and Oversight — Default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1706.30(A)</w:t>
      </w:r>
      <w:r>
        <w:rPr>
          <w:rFonts w:ascii="Times New Roman" w:cs="Times New Roman" w:eastAsia="Times New Roman" w:hAnsi="Times New Roman"/>
          <w:b w:val="false"/>
          <w:bCs w:val="false"/>
          <w:i w:val="false"/>
          <w:iCs w:val="false"/>
          <w:color w:val="000000"/>
          <w:sz w:val="24"/>
          <w:szCs w:val="24"/>
        </w:rPr>
        <w:t xml:space="preserve">, the LLC's activities and affairs are under the </w:t>
      </w:r>
      <w:r>
        <w:rPr>
          <w:rFonts w:ascii="Times New Roman" w:cs="Times New Roman" w:eastAsia="Times New Roman" w:hAnsi="Times New Roman"/>
          <w:b/>
          <w:bCs/>
          <w:i w:val="false"/>
          <w:iCs w:val="false"/>
          <w:color w:val="000000"/>
          <w:sz w:val="24"/>
          <w:szCs w:val="24"/>
        </w:rPr>
        <w:t xml:space="preserve">DIRECTION AND OVERSIGHT OF ITS MEMBERS</w:t>
      </w:r>
      <w:r>
        <w:rPr>
          <w:rFonts w:ascii="Times New Roman" w:cs="Times New Roman" w:eastAsia="Times New Roman" w:hAnsi="Times New Roman"/>
          <w:b w:val="false"/>
          <w:bCs w:val="false"/>
          <w:i w:val="false"/>
          <w:iCs w:val="false"/>
          <w:color w:val="000000"/>
          <w:sz w:val="24"/>
          <w:szCs w:val="24"/>
        </w:rPr>
        <w:t xml:space="preserve"> by default. This Agreement uses the default member-managed structure.</w:t>
      </w:r>
    </w:p>
    <w:p>
      <w:pPr>
        <w:spacing w:after="60" w:before="120" w:line="276" w:lineRule="auto"/>
      </w:pPr>
      <w:r>
        <w:rPr>
          <w:rFonts w:ascii="Times New Roman" w:cs="Times New Roman" w:eastAsia="Times New Roman" w:hAnsi="Times New Roman"/>
          <w:b/>
          <w:bCs/>
          <w:color w:val="000000"/>
          <w:sz w:val="24"/>
          <w:szCs w:val="24"/>
        </w:rPr>
        <w:t xml:space="preserve">V.02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1706.30(B)</w:t>
      </w:r>
      <w:r>
        <w:rPr>
          <w:rFonts w:ascii="Times New Roman" w:cs="Times New Roman" w:eastAsia="Times New Roman" w:hAnsi="Times New Roman"/>
          <w:b w:val="false"/>
          <w:bCs w:val="false"/>
          <w:i w:val="false"/>
          <w:iCs w:val="false"/>
          <w:color w:val="000000"/>
          <w:sz w:val="24"/>
          <w:szCs w:val="24"/>
        </w:rPr>
        <w:t xml:space="preserve">, ordinary-course matters are decided by a </w:t>
      </w:r>
      <w:r>
        <w:rPr>
          <w:rFonts w:ascii="Times New Roman" w:cs="Times New Roman" w:eastAsia="Times New Roman" w:hAnsi="Times New Roman"/>
          <w:b/>
          <w:bCs/>
          <w:i w:val="false"/>
          <w:iCs w:val="false"/>
          <w:color w:val="000000"/>
          <w:sz w:val="24"/>
          <w:szCs w:val="24"/>
        </w:rPr>
        <w:t xml:space="preserve">MAJORITY OF MEMBERS</w:t>
      </w:r>
      <w:r>
        <w:rPr>
          <w:rFonts w:ascii="Times New Roman" w:cs="Times New Roman" w:eastAsia="Times New Roman" w:hAnsi="Times New Roman"/>
          <w:b w:val="false"/>
          <w:bCs w:val="false"/>
          <w:i w:val="false"/>
          <w:iCs w:val="false"/>
          <w:color w:val="000000"/>
          <w:sz w:val="24"/>
          <w:szCs w:val="24"/>
        </w:rPr>
        <w:t xml:space="preserve">. Elected voting basis: </w:t>
      </w:r>
      <w:r>
        <w:rPr>
          <w:rFonts w:ascii="Times New Roman" w:cs="Times New Roman" w:eastAsia="Times New Roman" w:hAnsi="Times New Roman"/>
          <w:b/>
          <w:bCs/>
          <w:color w:val="990000"/>
          <w:sz w:val="24"/>
          <w:szCs w:val="24"/>
        </w:rPr>
        <w:t xml:space="preserve">[Per capita majority (default) / By Ownership % / Supermajority / Other]</w:t>
      </w:r>
    </w:p>
    <w:p>
      <w:pPr>
        <w:spacing w:after="60" w:before="120" w:line="276" w:lineRule="auto"/>
      </w:pPr>
      <w:r>
        <w:rPr>
          <w:rFonts w:ascii="Times New Roman" w:cs="Times New Roman" w:eastAsia="Times New Roman" w:hAnsi="Times New Roman"/>
          <w:b/>
          <w:bCs/>
          <w:color w:val="000000"/>
          <w:sz w:val="24"/>
          <w:szCs w:val="24"/>
        </w:rPr>
        <w:t xml:space="preserve">V.03  Actions Requiring All-Member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1706.30(C)</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CONSENT OF ALL MEMBERS</w:t>
      </w:r>
      <w:r>
        <w:rPr>
          <w:rFonts w:ascii="Times New Roman" w:cs="Times New Roman" w:eastAsia="Times New Roman" w:hAnsi="Times New Roman"/>
          <w:b w:val="false"/>
          <w:bCs w:val="false"/>
          <w:i w:val="false"/>
          <w:iCs w:val="false"/>
          <w:color w:val="000000"/>
          <w:sz w:val="24"/>
          <w:szCs w:val="24"/>
        </w:rPr>
        <w:t xml:space="preserve">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Filing a bankruptcy petition.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Acts outside the ordinary course of the Company's activities.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extraordinary threshold: </w:t>
      </w:r>
      <w:r>
        <w:rPr>
          <w:rFonts w:ascii="Times New Roman" w:cs="Times New Roman" w:eastAsia="Times New Roman" w:hAnsi="Times New Roman"/>
          <w:b/>
          <w:bCs/>
          <w:color w:val="990000"/>
          <w:sz w:val="24"/>
          <w:szCs w:val="24"/>
        </w:rPr>
        <w:t xml:space="preserve">[Consent of 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V.04  Authority to Bind — Critical Ohio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ORC § 1706.18</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 PERSON HAS POWER TO BIND THE LLC</w:t>
      </w:r>
      <w:r>
        <w:rPr>
          <w:rFonts w:ascii="Times New Roman" w:cs="Times New Roman" w:eastAsia="Times New Roman" w:hAnsi="Times New Roman"/>
          <w:b w:val="false"/>
          <w:bCs w:val="false"/>
          <w:i w:val="false"/>
          <w:iCs w:val="false"/>
          <w:color w:val="000000"/>
          <w:sz w:val="24"/>
          <w:szCs w:val="24"/>
        </w:rPr>
        <w:t xml:space="preserve"> except as authorized by: (a) this Agreement; (b) </w:t>
      </w:r>
      <w:r>
        <w:rPr>
          <w:rFonts w:ascii="Times New Roman" w:cs="Times New Roman" w:eastAsia="Times New Roman" w:hAnsi="Times New Roman"/>
          <w:b/>
          <w:bCs/>
          <w:i w:val="false"/>
          <w:iCs w:val="false"/>
          <w:color w:val="000000"/>
          <w:sz w:val="24"/>
          <w:szCs w:val="24"/>
        </w:rPr>
        <w:t xml:space="preserve">ORC § 1706.30(A)</w:t>
      </w:r>
      <w:r>
        <w:rPr>
          <w:rFonts w:ascii="Times New Roman" w:cs="Times New Roman" w:eastAsia="Times New Roman" w:hAnsi="Times New Roman"/>
          <w:b w:val="false"/>
          <w:bCs w:val="false"/>
          <w:i w:val="false"/>
          <w:iCs w:val="false"/>
          <w:color w:val="000000"/>
          <w:sz w:val="24"/>
          <w:szCs w:val="24"/>
        </w:rPr>
        <w:t xml:space="preserve">; (c) a statement of authority (§ 1706.19); or (d) other law. A title alone does NOT confer signing authority. Authorized signatories: </w:t>
      </w:r>
      <w:r>
        <w:rPr>
          <w:rFonts w:ascii="Times New Roman" w:cs="Times New Roman" w:eastAsia="Times New Roman" w:hAnsi="Times New Roman"/>
          <w:b/>
          <w:bCs/>
          <w:color w:val="990000"/>
          <w:sz w:val="24"/>
          <w:szCs w:val="24"/>
        </w:rPr>
        <w:t xml:space="preserve">[All Members / Named Members: specify / up to $[amount]]</w:t>
      </w:r>
    </w:p>
    <w:p>
      <w:pPr>
        <w:spacing w:after="60" w:before="120" w:line="276" w:lineRule="auto"/>
      </w:pPr>
      <w:r>
        <w:rPr>
          <w:rFonts w:ascii="Times New Roman" w:cs="Times New Roman" w:eastAsia="Times New Roman" w:hAnsi="Times New Roman"/>
          <w:b/>
          <w:bCs/>
          <w:color w:val="000000"/>
          <w:sz w:val="24"/>
          <w:szCs w:val="24"/>
        </w:rPr>
        <w:t xml:space="preserve">V.05  Fiduciary Duties — Written Modification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1706.31</w:t>
      </w:r>
      <w:r>
        <w:rPr>
          <w:rFonts w:ascii="Times New Roman" w:cs="Times New Roman" w:eastAsia="Times New Roman" w:hAnsi="Times New Roman"/>
          <w:b w:val="false"/>
          <w:bCs w:val="false"/>
          <w:i w:val="false"/>
          <w:iCs w:val="false"/>
          <w:color w:val="000000"/>
          <w:sz w:val="24"/>
          <w:szCs w:val="24"/>
        </w:rPr>
        <w:t xml:space="preserve">, members owe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by default. A WRITTEN operating agreement may modify, waive, or eliminate those duties (</w:t>
      </w:r>
      <w:r>
        <w:rPr>
          <w:rFonts w:ascii="Times New Roman" w:cs="Times New Roman" w:eastAsia="Times New Roman" w:hAnsi="Times New Roman"/>
          <w:b/>
          <w:bCs/>
          <w:i w:val="false"/>
          <w:iCs w:val="false"/>
          <w:color w:val="000000"/>
          <w:sz w:val="24"/>
          <w:szCs w:val="24"/>
        </w:rPr>
        <w:t xml:space="preserve">ORC § 1706.08</w:t>
      </w:r>
      <w:r>
        <w:rPr>
          <w:rFonts w:ascii="Times New Roman" w:cs="Times New Roman" w:eastAsia="Times New Roman" w:hAnsi="Times New Roman"/>
          <w:b w:val="false"/>
          <w:bCs w:val="false"/>
          <w:i w:val="false"/>
          <w:iCs w:val="false"/>
          <w:color w:val="000000"/>
          <w:sz w:val="24"/>
          <w:szCs w:val="24"/>
        </w:rPr>
        <w:t xml:space="preserve">). The implied covenant of good faith and fair dealing CANNOT be eliminated (§ 1706.08(C)(4) and (5)). Fiduciary modification election: </w:t>
      </w:r>
      <w:r>
        <w:rPr>
          <w:rFonts w:ascii="Times New Roman" w:cs="Times New Roman" w:eastAsia="Times New Roman" w:hAnsi="Times New Roman"/>
          <w:b/>
          <w:bCs/>
          <w:color w:val="990000"/>
          <w:sz w:val="24"/>
          <w:szCs w:val="24"/>
        </w:rPr>
        <w:t xml:space="preserve">[Retain defaults / modify duty of loyalty / modify duty of care / specify]</w:t>
      </w:r>
    </w:p>
    <w:p>
      <w:pPr>
        <w:spacing w:after="60" w:before="120" w:line="276" w:lineRule="auto"/>
      </w:pPr>
      <w:r>
        <w:rPr>
          <w:rFonts w:ascii="Times New Roman" w:cs="Times New Roman" w:eastAsia="Times New Roman" w:hAnsi="Times New Roman"/>
          <w:b/>
          <w:bCs/>
          <w:color w:val="000000"/>
          <w:sz w:val="24"/>
          <w:szCs w:val="24"/>
        </w:rPr>
        <w:t xml:space="preserve">V.06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1706.342</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for a judgment creditor against a Member's membership interest — distributions only, no governance rights.</w:t>
      </w:r>
    </w:p>
    <w:p>
      <w:pPr>
        <w:spacing w:after="60" w:before="120" w:line="276" w:lineRule="auto"/>
      </w:pPr>
      <w:r>
        <w:rPr>
          <w:rFonts w:ascii="Times New Roman" w:cs="Times New Roman" w:eastAsia="Times New Roman" w:hAnsi="Times New Roman"/>
          <w:b/>
          <w:bCs/>
          <w:color w:val="000000"/>
          <w:sz w:val="24"/>
          <w:szCs w:val="24"/>
        </w:rPr>
        <w:t xml:space="preserve">V.07  No Member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1706.30(E)</w:t>
      </w:r>
      <w:r>
        <w:rPr>
          <w:rFonts w:ascii="Times New Roman" w:cs="Times New Roman" w:eastAsia="Times New Roman" w:hAnsi="Times New Roman"/>
          <w:b w:val="false"/>
          <w:bCs w:val="false"/>
          <w:i w:val="false"/>
          <w:iCs w:val="false"/>
          <w:color w:val="000000"/>
          <w:sz w:val="24"/>
          <w:szCs w:val="24"/>
        </w:rPr>
        <w:t xml:space="preserve">, no member is entitled to remuneration for services solely by reason of being a member. Compensation provisions: </w:t>
      </w:r>
      <w:r>
        <w:rPr>
          <w:rFonts w:ascii="Times New Roman" w:cs="Times New Roman" w:eastAsia="Times New Roman" w:hAnsi="Times New Roman"/>
          <w:b/>
          <w:bCs/>
          <w:color w:val="990000"/>
          <w:sz w:val="24"/>
          <w:szCs w:val="24"/>
        </w:rPr>
        <w:t xml:space="preserve">[None (default) / Salary: specify / Management fee: specify]</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1706.341</w:t>
      </w:r>
      <w:r>
        <w:rPr>
          <w:rFonts w:ascii="Times New Roman" w:cs="Times New Roman" w:eastAsia="Times New Roman" w:hAnsi="Times New Roman"/>
          <w:b w:val="false"/>
          <w:bCs w:val="false"/>
          <w:i w:val="false"/>
          <w:iCs w:val="false"/>
          <w:color w:val="000000"/>
          <w:sz w:val="24"/>
          <w:szCs w:val="24"/>
        </w:rPr>
        <w:t xml:space="preserve">, assignment of a membership interest does NOT automatically: (a) dissolve the LLC; (b) make the assignee a member; or (c) give the assignee governance, voting, or information rights. The assignee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and return of contributions). The assignor remains a member unless dissociated.</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the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1706.411</w:t>
      </w:r>
      <w:r>
        <w:rPr>
          <w:rFonts w:ascii="Times New Roman" w:cs="Times New Roman" w:eastAsia="Times New Roman" w:hAnsi="Times New Roman"/>
          <w:b w:val="false"/>
          <w:bCs w:val="false"/>
          <w:i w:val="false"/>
          <w:iCs w:val="false"/>
          <w:color w:val="000000"/>
          <w:sz w:val="24"/>
          <w:szCs w:val="24"/>
        </w:rPr>
        <w:t xml:space="preserve">, dissociation events include: OA event, expulsion, unanimous consent events, court order, death, guardianship, assignment of all interests, or entity termination. Under </w:t>
      </w:r>
      <w:r>
        <w:rPr>
          <w:rFonts w:ascii="Times New Roman" w:cs="Times New Roman" w:eastAsia="Times New Roman" w:hAnsi="Times New Roman"/>
          <w:b/>
          <w:bCs/>
          <w:i w:val="false"/>
          <w:iCs w:val="false"/>
          <w:color w:val="000000"/>
          <w:sz w:val="24"/>
          <w:szCs w:val="24"/>
        </w:rPr>
        <w:t xml:space="preserve">ORC § 1706.412</w:t>
      </w:r>
      <w:r>
        <w:rPr>
          <w:rFonts w:ascii="Times New Roman" w:cs="Times New Roman" w:eastAsia="Times New Roman" w:hAnsi="Times New Roman"/>
          <w:b w:val="false"/>
          <w:bCs w:val="false"/>
          <w:i w:val="false"/>
          <w:iCs w:val="false"/>
          <w:color w:val="000000"/>
          <w:sz w:val="24"/>
          <w:szCs w:val="24"/>
        </w:rPr>
        <w:t xml:space="preserve">, a dissociated member loses governance rights and receives only distributions they would otherwise have received.</w:t>
      </w:r>
    </w:p>
    <w:p>
      <w:pPr>
        <w:spacing w:after="60" w:before="120" w:line="276" w:lineRule="auto"/>
      </w:pPr>
      <w:r>
        <w:rPr>
          <w:rFonts w:ascii="Times New Roman" w:cs="Times New Roman" w:eastAsia="Times New Roman" w:hAnsi="Times New Roman"/>
          <w:b/>
          <w:bCs/>
          <w:color w:val="000000"/>
          <w:sz w:val="24"/>
          <w:szCs w:val="24"/>
        </w:rPr>
        <w:t xml:space="preserve">VI.06  90-Day Last-Member Dissolution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1706.47</w:t>
      </w:r>
      <w:r>
        <w:rPr>
          <w:rFonts w:ascii="Times New Roman" w:cs="Times New Roman" w:eastAsia="Times New Roman" w:hAnsi="Times New Roman"/>
          <w:b w:val="false"/>
          <w:bCs w:val="false"/>
          <w:i w:val="false"/>
          <w:iCs w:val="false"/>
          <w:color w:val="000000"/>
          <w:sz w:val="24"/>
          <w:szCs w:val="24"/>
        </w:rPr>
        <w:t xml:space="preserve">, if the last remaining member dissociates and no substitute is admitted within </w:t>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the LLC dissolves. Succession clauses (single-member) and buyout clauses (multi-member) prevent this.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1706.27</w:t>
      </w:r>
      <w:r>
        <w:rPr>
          <w:rFonts w:ascii="Times New Roman" w:cs="Times New Roman" w:eastAsia="Times New Roman" w:hAnsi="Times New Roman"/>
          <w:b w:val="false"/>
          <w:bCs w:val="false"/>
          <w:i w:val="false"/>
          <w:iCs w:val="false"/>
          <w:color w:val="000000"/>
          <w:sz w:val="24"/>
          <w:szCs w:val="24"/>
        </w:rPr>
        <w:t xml:space="preserve">, admission after formation requires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by default. Elected threshold: </w:t>
      </w:r>
      <w:r>
        <w:rPr>
          <w:rFonts w:ascii="Times New Roman" w:cs="Times New Roman" w:eastAsia="Times New Roman" w:hAnsi="Times New Roman"/>
          <w:b/>
          <w:bCs/>
          <w:color w:val="990000"/>
          <w:sz w:val="24"/>
          <w:szCs w:val="24"/>
        </w:rPr>
        <w:t xml:space="preserve">[Unanimous consent (default) / majority / as specified]</w:t>
      </w:r>
    </w:p>
    <w:p>
      <w:pPr>
        <w:spacing w:after="60" w:before="120" w:line="276" w:lineRule="auto"/>
      </w:pPr>
      <w:r>
        <w:rPr>
          <w:rFonts w:ascii="Times New Roman" w:cs="Times New Roman" w:eastAsia="Times New Roman" w:hAnsi="Times New Roman"/>
          <w:b/>
          <w:bCs/>
          <w:color w:val="000000"/>
          <w:sz w:val="24"/>
          <w:szCs w:val="24"/>
        </w:rPr>
        <w:t xml:space="preserve">7.02  Equal-Distribution Default Warning.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TRAP: Without this Agreement,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would give every member an </w:t>
      </w:r>
      <w:r>
        <w:rPr>
          <w:rFonts w:ascii="Times New Roman" w:cs="Times New Roman" w:eastAsia="Times New Roman" w:hAnsi="Times New Roman"/>
          <w:b/>
          <w:bCs/>
          <w:i w:val="false"/>
          <w:iCs w:val="false"/>
          <w:color w:val="000000"/>
          <w:sz w:val="24"/>
          <w:szCs w:val="24"/>
        </w:rPr>
        <w:t xml:space="preserve">EQUAL</w:t>
      </w:r>
      <w:r>
        <w:rPr>
          <w:rFonts w:ascii="Times New Roman" w:cs="Times New Roman" w:eastAsia="Times New Roman" w:hAnsi="Times New Roman"/>
          <w:b w:val="false"/>
          <w:bCs w:val="false"/>
          <w:i w:val="false"/>
          <w:iCs w:val="false"/>
          <w:color w:val="000000"/>
          <w:sz w:val="24"/>
          <w:szCs w:val="24"/>
        </w:rPr>
        <w:t xml:space="preserve"> share of distributions regardless of capital or ownership %. This Agreement overrides that default in Articles III and IV. All contribution obligations must be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(ORC § 1706.281).</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1706.26</w:t>
      </w:r>
      <w:r>
        <w:rPr>
          <w:rFonts w:ascii="Times New Roman" w:cs="Times New Roman" w:eastAsia="Times New Roman" w:hAnsi="Times New Roman"/>
          <w:b w:val="false"/>
          <w:bCs w:val="false"/>
          <w:i w:val="false"/>
          <w:iCs w:val="false"/>
          <w:color w:val="000000"/>
          <w:sz w:val="24"/>
          <w:szCs w:val="24"/>
        </w:rPr>
        <w:t xml:space="preserve">, a Member, Manager, or other person is not personally liable for LLC debts solely because of their status. Ohio expressly states that </w:t>
      </w:r>
      <w:r>
        <w:rPr>
          <w:rFonts w:ascii="Times New Roman" w:cs="Times New Roman" w:eastAsia="Times New Roman" w:hAnsi="Times New Roman"/>
          <w:b/>
          <w:bCs/>
          <w:i w:val="false"/>
          <w:iCs w:val="false"/>
          <w:color w:val="000000"/>
          <w:sz w:val="24"/>
          <w:szCs w:val="24"/>
        </w:rPr>
        <w:t xml:space="preserve">FAILURE TO OBSERVE FORMALITIES</w:t>
      </w:r>
      <w:r>
        <w:rPr>
          <w:rFonts w:ascii="Times New Roman" w:cs="Times New Roman" w:eastAsia="Times New Roman" w:hAnsi="Times New Roman"/>
          <w:b w:val="false"/>
          <w:bCs w:val="false"/>
          <w:i w:val="false"/>
          <w:iCs w:val="false"/>
          <w:color w:val="000000"/>
          <w:sz w:val="24"/>
          <w:szCs w:val="24"/>
        </w:rPr>
        <w:t xml:space="preserve"> is NOT a ground for imposing personal liability. Per </w:t>
      </w:r>
      <w:r>
        <w:rPr>
          <w:rFonts w:ascii="Times New Roman" w:cs="Times New Roman" w:eastAsia="Times New Roman" w:hAnsi="Times New Roman"/>
          <w:b w:val="false"/>
          <w:bCs w:val="false"/>
          <w:i/>
          <w:iCs/>
          <w:color w:val="000000"/>
          <w:sz w:val="24"/>
          <w:szCs w:val="24"/>
        </w:rPr>
        <w:t xml:space="preserve">Dombroski v. WellPoint, Inc. (Ohio Supreme Court, 2008)</w:t>
      </w:r>
      <w:r>
        <w:rPr>
          <w:rFonts w:ascii="Times New Roman" w:cs="Times New Roman" w:eastAsia="Times New Roman" w:hAnsi="Times New Roman"/>
          <w:b w:val="false"/>
          <w:bCs w:val="false"/>
          <w:i w:val="false"/>
          <w:iCs w:val="false"/>
          <w:color w:val="000000"/>
          <w:sz w:val="24"/>
          <w:szCs w:val="24"/>
        </w:rPr>
        <w:t xml:space="preserve">, veil-piercing is exceptional and requires more than disregard of formalities.</w:t>
      </w:r>
    </w:p>
    <w:p>
      <w:pPr>
        <w:spacing w:after="60" w:before="120" w:line="276" w:lineRule="auto"/>
      </w:pPr>
      <w:r>
        <w:rPr>
          <w:rFonts w:ascii="Times New Roman" w:cs="Times New Roman" w:eastAsia="Times New Roman" w:hAnsi="Times New Roman"/>
          <w:b/>
          <w:bCs/>
          <w:color w:val="000000"/>
          <w:sz w:val="24"/>
          <w:szCs w:val="24"/>
        </w:rPr>
        <w:t xml:space="preserve">VIII.02  Indemnification (ORC § 1706.32).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1706.32</w:t>
      </w:r>
      <w:r>
        <w:rPr>
          <w:rFonts w:ascii="Times New Roman" w:cs="Times New Roman" w:eastAsia="Times New Roman" w:hAnsi="Times New Roman"/>
          <w:b w:val="false"/>
          <w:bCs w:val="false"/>
          <w:i w:val="false"/>
          <w:iCs w:val="false"/>
          <w:color w:val="000000"/>
          <w:sz w:val="24"/>
          <w:szCs w:val="24"/>
        </w:rPr>
        <w:t xml:space="preserve">, the Company may indemnify and hold harmless any Member, Manager, or other person, pay or reimburse expenses, and purchase insurance.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bad-faith violations of the implied covenant of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VIII.03  Good Faith — Non-Waivable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1706.08(C)(4) and (5)</w:t>
      </w:r>
      <w:r>
        <w:rPr>
          <w:rFonts w:ascii="Times New Roman" w:cs="Times New Roman" w:eastAsia="Times New Roman" w:hAnsi="Times New Roman"/>
          <w:b w:val="false"/>
          <w:bCs w:val="false"/>
          <w:i w:val="false"/>
          <w:iCs w:val="false"/>
          <w:color w:val="000000"/>
          <w:sz w:val="24"/>
          <w:szCs w:val="24"/>
        </w:rPr>
        <w:t xml:space="preserve">, the implied covenant of good faith and fair dealing CANNOT be eliminated or limited. Any provision attempting to eliminate liability for bad-faith violations is void.</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(ORC § 1706.47):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operating agreement event.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All-member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after the last remaining member dissociates without a substitute member. </w:t>
      </w:r>
      <w:r>
        <w:rPr>
          <w:rFonts w:ascii="Times New Roman" w:cs="Times New Roman" w:eastAsia="Times New Roman" w:hAnsi="Times New Roman"/>
          <w:b w:val="false"/>
          <w:bCs w:val="false"/>
          <w:i/>
          <w:iCs/>
          <w:color w:val="000000"/>
          <w:sz w:val="24"/>
          <w:szCs w:val="24"/>
        </w:rPr>
        <w:t xml:space="preserve">Plan for succession to avoid this.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Court order when not reasonably practicable to carry on the Company's activities.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[All-member consent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IX.02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Certificate of Dissolution with the SOS. A dissolved Ohio LLC may publish a claims notice under </w:t>
      </w:r>
      <w:r>
        <w:rPr>
          <w:rFonts w:ascii="Times New Roman" w:cs="Times New Roman" w:eastAsia="Times New Roman" w:hAnsi="Times New Roman"/>
          <w:b/>
          <w:bCs/>
          <w:i w:val="false"/>
          <w:iCs w:val="false"/>
          <w:color w:val="000000"/>
          <w:sz w:val="24"/>
          <w:szCs w:val="24"/>
        </w:rPr>
        <w:t xml:space="preserve">ORC § 1706.474</w:t>
      </w:r>
      <w:r>
        <w:rPr>
          <w:rFonts w:ascii="Times New Roman" w:cs="Times New Roman" w:eastAsia="Times New Roman" w:hAnsi="Times New Roman"/>
          <w:b w:val="false"/>
          <w:bCs w:val="false"/>
          <w:i w:val="false"/>
          <w:iCs w:val="false"/>
          <w:color w:val="000000"/>
          <w:sz w:val="24"/>
          <w:szCs w:val="24"/>
        </w:rPr>
        <w:t xml:space="preserve"> to limit creditor claims.</w:t>
      </w:r>
    </w:p>
    <w:p>
      <w:pPr>
        <w:spacing w:after="60" w:before="120" w:line="276" w:lineRule="auto"/>
      </w:pPr>
      <w:r>
        <w:rPr>
          <w:rFonts w:ascii="Times New Roman" w:cs="Times New Roman" w:eastAsia="Times New Roman" w:hAnsi="Times New Roman"/>
          <w:b/>
          <w:bCs/>
          <w:color w:val="000000"/>
          <w:sz w:val="24"/>
          <w:szCs w:val="24"/>
        </w:rPr>
        <w:t xml:space="preserve">IX.03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[Internal negotiation / mediation / arbitration / Ohio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All-Member Consent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1706.30(C)</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CONSENT OF ALL MEMBERS</w:t>
      </w:r>
      <w:r>
        <w:rPr>
          <w:rFonts w:ascii="Times New Roman" w:cs="Times New Roman" w:eastAsia="Times New Roman" w:hAnsi="Times New Roman"/>
          <w:b w:val="false"/>
          <w:bCs w:val="false"/>
          <w:i w:val="false"/>
          <w:iCs w:val="false"/>
          <w:color w:val="000000"/>
          <w:sz w:val="24"/>
          <w:szCs w:val="24"/>
        </w:rPr>
        <w:t xml:space="preserve"> by default. Under </w:t>
      </w:r>
      <w:r>
        <w:rPr>
          <w:rFonts w:ascii="Times New Roman" w:cs="Times New Roman" w:eastAsia="Times New Roman" w:hAnsi="Times New Roman"/>
          <w:b/>
          <w:bCs/>
          <w:i w:val="false"/>
          <w:iCs w:val="false"/>
          <w:color w:val="000000"/>
          <w:sz w:val="24"/>
          <w:szCs w:val="24"/>
        </w:rPr>
        <w:t xml:space="preserve">ORC § 1706.082</w:t>
      </w:r>
      <w:r>
        <w:rPr>
          <w:rFonts w:ascii="Times New Roman" w:cs="Times New Roman" w:eastAsia="Times New Roman" w:hAnsi="Times New Roman"/>
          <w:b w:val="false"/>
          <w:bCs w:val="false"/>
          <w:i w:val="false"/>
          <w:iCs w:val="false"/>
          <w:color w:val="000000"/>
          <w:sz w:val="24"/>
          <w:szCs w:val="24"/>
        </w:rPr>
        <w:t xml:space="preserve">, the OA may provide lower thresholds. Elected threshold: </w:t>
      </w:r>
      <w:r>
        <w:rPr>
          <w:rFonts w:ascii="Times New Roman" w:cs="Times New Roman" w:eastAsia="Times New Roman" w:hAnsi="Times New Roman"/>
          <w:b/>
          <w:bCs/>
          <w:color w:val="990000"/>
          <w:sz w:val="24"/>
          <w:szCs w:val="24"/>
        </w:rPr>
        <w:t xml:space="preserve">[All-member consent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Written Amendment.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Oral modifications are not effective, particularly because fiduciary duty modifications require a WRITTEN operating agreement (</w:t>
      </w:r>
      <w:r>
        <w:rPr>
          <w:rFonts w:ascii="Times New Roman" w:cs="Times New Roman" w:eastAsia="Times New Roman" w:hAnsi="Times New Roman"/>
          <w:b/>
          <w:bCs/>
          <w:i w:val="false"/>
          <w:iCs w:val="false"/>
          <w:color w:val="000000"/>
          <w:sz w:val="24"/>
          <w:szCs w:val="24"/>
        </w:rPr>
        <w:t xml:space="preserve">ORC § 1706.08</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per </w:t>
      </w:r>
      <w:r>
        <w:rPr>
          <w:rFonts w:ascii="Times New Roman" w:cs="Times New Roman" w:eastAsia="Times New Roman" w:hAnsi="Times New Roman"/>
          <w:b/>
          <w:bCs/>
          <w:i w:val="false"/>
          <w:iCs w:val="false"/>
          <w:color w:val="000000"/>
          <w:sz w:val="24"/>
          <w:szCs w:val="24"/>
        </w:rPr>
        <w:t xml:space="preserve">ORC § 1706.172</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Ohio, specifically the Ohio Revised Limited Liability Company Act, Ohio Revised Code Chapter 1706.</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Agreement shall be resolved as follows: </w:t>
      </w:r>
      <w:r>
        <w:rPr>
          <w:rFonts w:ascii="Times New Roman" w:cs="Times New Roman" w:eastAsia="Times New Roman" w:hAnsi="Times New Roman"/>
          <w:b/>
          <w:bCs/>
          <w:color w:val="990000"/>
          <w:sz w:val="24"/>
          <w:szCs w:val="24"/>
        </w:rPr>
        <w:t xml:space="preserve">[Mediation / binding arbitration / Ohio Court of Common Pleas]</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does not require notarization of an LLC operating agreement. This Agreement is NOT filed with the Ohio Secretary of State. All Members should sign.</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consistent with ORC § 1706.08.</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Ohio does not require notarization. This Agreement is NOT filed with the Ohio Secretary of State. No annual report required for ordinary Ohio LLCs.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TRAP OVERRIDE: This Exhibit overrides the </w:t>
      </w:r>
      <w:r>
        <w:rPr>
          <w:rFonts w:ascii="Times New Roman" w:cs="Times New Roman" w:eastAsia="Times New Roman" w:hAnsi="Times New Roman"/>
          <w:b/>
          <w:bCs/>
          <w:i w:val="false"/>
          <w:iCs w:val="false"/>
          <w:color w:val="000000"/>
          <w:sz w:val="24"/>
          <w:szCs w:val="24"/>
        </w:rPr>
        <w:t xml:space="preserve">EQUAL-DISTRIBUTION DEFAULT</w:t>
      </w:r>
      <w:r>
        <w:rPr>
          <w:rFonts w:ascii="Times New Roman" w:cs="Times New Roman" w:eastAsia="Times New Roman" w:hAnsi="Times New Roman"/>
          <w:b w:val="false"/>
          <w:bCs w:val="false"/>
          <w:i w:val="false"/>
          <w:iCs w:val="false"/>
          <w:color w:val="000000"/>
          <w:sz w:val="24"/>
          <w:szCs w:val="24"/>
        </w:rPr>
        <w:t xml:space="preserve"> of ORC § 1706.29(A)(1). Without this override, ALL members share EQUALLY in distributions regardless of ownership % or capital. Future contribution obligations must be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(ORC § 1706.281).</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Ohio limited liability company is provided by Boost Suite for informational and educational purposes only. It does not constitute legal advice and does not create an attorney-client relationship. Boost Suite is not a law firm. This template is based on the Ohio Revised Limited Liability Company Act, Ohio Revised Code Chapter 1706, including ORC §§ 1706.01(R), 1706.04, 1706.08, 1706.081, 1706.082, 1706.09, 1706.16, 1706.18, 1706.19, 1706.26, 1706.27, 1706.281, 1706.29, 1706.30, 1706.31, 1706.311, 1706.32, 1706.34, 1706.341, 1706.342, 1706.411, 1706.412, 1706.47, 1706.474, 1706.76, 1706.761, and 1706.83. Chapter 1706 governs all Ohio LLCs since February 11, 2022. Laws change; Boost Suite does not guarantee that this template reflects the most current version of Ohio law.</w:t>
      </w:r>
    </w:p>
    <w:p>
      <w:r>
        <w:br/>
      </w:r>
    </w:p>
    <w:p>
      <w:pPr>
        <w:spacing w:after="80" w:before="0" w:line="276" w:lineRule="auto"/>
      </w:pPr>
      <w:r>
        <w:rPr>
          <w:rFonts w:ascii="Times New Roman" w:cs="Times New Roman" w:eastAsia="Times New Roman" w:hAnsi="Times New Roman"/>
          <w:b/>
          <w:bCs/>
          <w:sz w:val="24"/>
          <w:szCs w:val="24"/>
        </w:rPr>
        <w:t xml:space="preserve">Your Ohio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nalvnedse6canmizyv71f">
        <w:r>
          <w:rPr>
            <w:rFonts w:ascii="Times New Roman" w:cs="Times New Roman" w:eastAsia="Times New Roman" w:hAnsi="Times New Roman"/>
            <w:color w:val="0000CC"/>
            <w:sz w:val="24"/>
            <w:szCs w:val="24"/>
            <w:u w:val="single"/>
          </w:rPr>
          <w:t xml:space="preserve">https://boostsuite.com/llc-operating-agreement/ohio/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3hc9jdqnxmdu_nt78o6s_">
        <w:r>
          <w:rPr>
            <w:rFonts w:ascii="Times New Roman" w:cs="Times New Roman" w:eastAsia="Times New Roman" w:hAnsi="Times New Roman"/>
            <w:color w:val="0000CC"/>
            <w:sz w:val="24"/>
            <w:szCs w:val="24"/>
            <w:u w:val="single"/>
          </w:rPr>
          <w:t xml:space="preserve">https://boostsuite.com/how-to-start-an-llc/ohio/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elp1ylvjz7jlzmgfrgcc">
        <w:r>
          <w:rPr>
            <w:rFonts w:ascii="Times New Roman" w:cs="Times New Roman" w:eastAsia="Times New Roman" w:hAnsi="Times New Roman"/>
            <w:color w:val="0000CC"/>
            <w:sz w:val="24"/>
            <w:szCs w:val="24"/>
            <w:u w:val="single"/>
          </w:rPr>
          <w:t xml:space="preserve">https://boostsuite.com/how-to-start-an-llc/cost/ohio/</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nalvnedse6canmizyv71f" Type="http://schemas.openxmlformats.org/officeDocument/2006/relationships/hyperlink" Target="https://boostsuite.com/llc-operating-agreement/ohio/" TargetMode="External"/><Relationship Id="rId3hc9jdqnxmdu_nt78o6s_" Type="http://schemas.openxmlformats.org/officeDocument/2006/relationships/hyperlink" Target="https://boostsuite.com/how-to-start-an-llc/ohio/" TargetMode="External"/><Relationship Id="rIdcelp1ylvjz7jlzmgfrgcc" Type="http://schemas.openxmlformats.org/officeDocument/2006/relationships/hyperlink" Target="https://boostsuite.com/how-to-start-an-llc/cost/ohi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2026-04-24T15:23:28.277Z</dcterms:created>
  <dcterms:modified xsi:type="dcterms:W3CDTF">2026-04-24T15:23:28.277Z</dcterms:modified>
</cp:coreProperties>
</file>

<file path=docProps/custom.xml><?xml version="1.0" encoding="utf-8"?>
<Properties xmlns="http://schemas.openxmlformats.org/officeDocument/2006/custom-properties" xmlns:vt="http://schemas.openxmlformats.org/officeDocument/2006/docPropsVTypes"/>
</file>