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NEVADA LIMITED LIABILITY COMPANY</w:t>
      </w:r>
    </w:p>
    <w:p>
      <w:pPr>
        <w:spacing w:after="6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Nevada Limited-Liability Company Act, NRS Chapter 86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Nevada Limited-Liability Company Act, NRS Chapter 86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Nevada Secretary of State through </w:t>
      </w:r>
      <w:r>
        <w:rPr>
          <w:rFonts w:ascii="Times New Roman" w:cs="Times New Roman" w:eastAsia="Times New Roman" w:hAnsi="Times New Roman"/>
          <w:b/>
          <w:bCs/>
          <w:i w:val="false"/>
          <w:iCs w:val="false"/>
          <w:color w:val="000000"/>
          <w:sz w:val="24"/>
          <w:szCs w:val="24"/>
        </w:rPr>
        <w:t xml:space="preserve">SilverFlume</w:t>
      </w:r>
      <w:r>
        <w:rPr>
          <w:rFonts w:ascii="Times New Roman" w:cs="Times New Roman" w:eastAsia="Times New Roman" w:hAnsi="Times New Roman"/>
          <w:b w:val="false"/>
          <w:bCs w:val="false"/>
          <w:i w:val="false"/>
          <w:iCs w:val="false"/>
          <w:color w:val="000000"/>
          <w:sz w:val="24"/>
          <w:szCs w:val="24"/>
        </w:rPr>
        <w:t xml:space="preserve">. Filing fee: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(NRS 86.561). Most transactions processed same day. The Articles must list initial managers (if manager-managed) or initial members (if member-managed) per NRS 86.161. This Operating Agreement is NOT filed with the Nevada Secretary of State.</w:t>
      </w:r>
    </w:p>
    <w:p>
      <w:pPr>
        <w:spacing w:after="60" w:before="120" w:line="276" w:lineRule="auto"/>
      </w:pPr>
      <w:r>
        <w:rPr>
          <w:rFonts w:ascii="Times New Roman" w:cs="Times New Roman" w:eastAsia="Times New Roman" w:hAnsi="Times New Roman"/>
          <w:b/>
          <w:bCs/>
          <w:color w:val="000000"/>
          <w:sz w:val="24"/>
          <w:szCs w:val="24"/>
        </w:rPr>
        <w:t xml:space="preserve">1.04  Operating Agreement — Not Required, but Critical.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 a Nevada LLC may, but is </w:t>
      </w:r>
      <w:r>
        <w:rPr>
          <w:rFonts w:ascii="Times New Roman" w:cs="Times New Roman" w:eastAsia="Times New Roman" w:hAnsi="Times New Roman"/>
          <w:b/>
          <w:bCs/>
          <w:i w:val="false"/>
          <w:iCs w:val="false"/>
          <w:color w:val="000000"/>
          <w:sz w:val="24"/>
          <w:szCs w:val="24"/>
        </w:rPr>
        <w:t xml:space="preserve">NOT REQUIRED</w:t>
      </w:r>
      <w:r>
        <w:rPr>
          <w:rFonts w:ascii="Times New Roman" w:cs="Times New Roman" w:eastAsia="Times New Roman" w:hAnsi="Times New Roman"/>
          <w:b w:val="false"/>
          <w:bCs w:val="false"/>
          <w:i w:val="false"/>
          <w:iCs w:val="false"/>
          <w:color w:val="000000"/>
          <w:sz w:val="24"/>
          <w:szCs w:val="24"/>
        </w:rPr>
        <w:t xml:space="preserve"> to, adopt an operating agreement. Under </w:t>
      </w:r>
      <w:r>
        <w:rPr>
          <w:rFonts w:ascii="Times New Roman" w:cs="Times New Roman" w:eastAsia="Times New Roman" w:hAnsi="Times New Roman"/>
          <w:b/>
          <w:bCs/>
          <w:i w:val="false"/>
          <w:iCs w:val="false"/>
          <w:color w:val="000000"/>
          <w:sz w:val="24"/>
          <w:szCs w:val="24"/>
        </w:rPr>
        <w:t xml:space="preserve">NRS 86.101</w:t>
      </w:r>
      <w:r>
        <w:rPr>
          <w:rFonts w:ascii="Times New Roman" w:cs="Times New Roman" w:eastAsia="Times New Roman" w:hAnsi="Times New Roman"/>
          <w:b w:val="false"/>
          <w:bCs w:val="false"/>
          <w:i w:val="false"/>
          <w:iCs w:val="false"/>
          <w:color w:val="000000"/>
          <w:sz w:val="24"/>
          <w:szCs w:val="24"/>
        </w:rPr>
        <w:t xml:space="preserve">, it may exist in any tangible or electronic format. Without one, NRS Chapter 86 default rules govern. The Members have elected to execute this WRITTEN Agreement for certainty and enforceability.</w:t>
      </w:r>
    </w:p>
    <w:p>
      <w:pPr>
        <w:spacing w:after="60" w:before="120" w:line="276" w:lineRule="auto"/>
      </w:pPr>
      <w:r>
        <w:rPr>
          <w:rFonts w:ascii="Times New Roman" w:cs="Times New Roman" w:eastAsia="Times New Roman" w:hAnsi="Times New Roman"/>
          <w:b/>
          <w:bCs/>
          <w:color w:val="000000"/>
          <w:sz w:val="24"/>
          <w:szCs w:val="24"/>
        </w:rPr>
        <w:t xml:space="preserve">1.05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requires a registered agent with a Nevada street address (NRS 86.151 and 86.161).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NV ZIP (no P.O. Box)]</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NV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Annual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LLC annual compliance: (a) </w:t>
      </w:r>
      <w:r>
        <w:rPr>
          <w:rFonts w:ascii="Times New Roman" w:cs="Times New Roman" w:eastAsia="Times New Roman" w:hAnsi="Times New Roman"/>
          <w:b/>
          <w:bCs/>
          <w:i w:val="false"/>
          <w:iCs w:val="false"/>
          <w:color w:val="000000"/>
          <w:sz w:val="24"/>
          <w:szCs w:val="24"/>
        </w:rPr>
        <w:t xml:space="preserve">Initial List: due last day of first month after articles, $150</w:t>
      </w:r>
      <w:r>
        <w:rPr>
          <w:rFonts w:ascii="Times New Roman" w:cs="Times New Roman" w:eastAsia="Times New Roman" w:hAnsi="Times New Roman"/>
          <w:b w:val="false"/>
          <w:bCs w:val="false"/>
          <w:i w:val="false"/>
          <w:iCs w:val="false"/>
          <w:color w:val="000000"/>
          <w:sz w:val="24"/>
          <w:szCs w:val="24"/>
        </w:rPr>
        <w:t xml:space="preserve"> (NRS 86.263(1)); (b) </w:t>
      </w:r>
      <w:r>
        <w:rPr>
          <w:rFonts w:ascii="Times New Roman" w:cs="Times New Roman" w:eastAsia="Times New Roman" w:hAnsi="Times New Roman"/>
          <w:b/>
          <w:bCs/>
          <w:i w:val="false"/>
          <w:iCs w:val="false"/>
          <w:color w:val="000000"/>
          <w:sz w:val="24"/>
          <w:szCs w:val="24"/>
        </w:rPr>
        <w:t xml:space="preserve">Annual List: due last day of anniversary month, $150</w:t>
      </w:r>
      <w:r>
        <w:rPr>
          <w:rFonts w:ascii="Times New Roman" w:cs="Times New Roman" w:eastAsia="Times New Roman" w:hAnsi="Times New Roman"/>
          <w:b w:val="false"/>
          <w:bCs w:val="false"/>
          <w:i w:val="false"/>
          <w:iCs w:val="false"/>
          <w:color w:val="000000"/>
          <w:sz w:val="24"/>
          <w:szCs w:val="24"/>
        </w:rPr>
        <w:t xml:space="preserve"> (NRS 86.263(2)); (c) </w:t>
      </w:r>
      <w:r>
        <w:rPr>
          <w:rFonts w:ascii="Times New Roman" w:cs="Times New Roman" w:eastAsia="Times New Roman" w:hAnsi="Times New Roman"/>
          <w:b/>
          <w:bCs/>
          <w:i w:val="false"/>
          <w:iCs w:val="false"/>
          <w:color w:val="000000"/>
          <w:sz w:val="24"/>
          <w:szCs w:val="24"/>
        </w:rPr>
        <w:t xml:space="preserve">State Business License renewal: $200 annually</w:t>
      </w:r>
      <w:r>
        <w:rPr>
          <w:rFonts w:ascii="Times New Roman" w:cs="Times New Roman" w:eastAsia="Times New Roman" w:hAnsi="Times New Roman"/>
          <w:b w:val="false"/>
          <w:bCs w:val="false"/>
          <w:i w:val="false"/>
          <w:iCs w:val="false"/>
          <w:color w:val="000000"/>
          <w:sz w:val="24"/>
          <w:szCs w:val="24"/>
        </w:rPr>
        <w:t xml:space="preserve"> (NRS 76.130). Formation baseline: $425. Annual baseline: $350. Late annual list penalty: $75 (NRS 86.272). Late business license penalty: $100 (NRS 76.130(4)). Charter revocation (NRS 86.274). Reinstatement: $300 + delinquent fees (NRS 86.276). </w:t>
      </w:r>
      <w:r>
        <w:rPr>
          <w:rFonts w:ascii="Times New Roman" w:cs="Times New Roman" w:eastAsia="Times New Roman" w:hAnsi="Times New Roman"/>
          <w:b/>
          <w:bCs/>
          <w:i w:val="false"/>
          <w:iCs w:val="false"/>
          <w:color w:val="000000"/>
          <w:sz w:val="24"/>
          <w:szCs w:val="24"/>
        </w:rPr>
        <w:t xml:space="preserve">5-year bar on reinstatement</w:t>
      </w:r>
      <w:r>
        <w:rPr>
          <w:rFonts w:ascii="Times New Roman" w:cs="Times New Roman" w:eastAsia="Times New Roman" w:hAnsi="Times New Roman"/>
          <w:b w:val="false"/>
          <w:bCs w:val="false"/>
          <w:i w:val="false"/>
          <w:iCs w:val="false"/>
          <w:color w:val="000000"/>
          <w:sz w:val="24"/>
          <w:szCs w:val="24"/>
        </w:rPr>
        <w:t xml:space="preserve"> (NRS 86.276(4)).</w:t>
      </w:r>
    </w:p>
    <w:p>
      <w:pPr>
        <w:spacing w:after="60" w:before="120" w:line="276" w:lineRule="auto"/>
      </w:pPr>
      <w:r>
        <w:rPr>
          <w:rFonts w:ascii="Times New Roman" w:cs="Times New Roman" w:eastAsia="Times New Roman" w:hAnsi="Times New Roman"/>
          <w:b/>
          <w:bCs/>
          <w:color w:val="000000"/>
          <w:sz w:val="24"/>
          <w:szCs w:val="24"/>
        </w:rPr>
        <w:t xml:space="preserve">1.09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Nevada domestic LLC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was identified in NRS Chapter 86 or the Nevada Secretary of State's domestic LLC formation materials. Unlike some states, Nevada does NOT require domestic LLCs to publish a formation notice. Publication requirements on the Nevada SOS website apply to foreign corporations, not domestic Nevada LLCs.</w:t>
      </w:r>
    </w:p>
    <w:p>
      <w:pPr>
        <w:spacing w:after="60" w:before="120" w:line="276" w:lineRule="auto"/>
      </w:pPr>
      <w:r>
        <w:rPr>
          <w:rFonts w:ascii="Times New Roman" w:cs="Times New Roman" w:eastAsia="Times New Roman" w:hAnsi="Times New Roman"/>
          <w:b/>
          <w:bCs/>
          <w:color w:val="000000"/>
          <w:sz w:val="24"/>
          <w:szCs w:val="24"/>
        </w:rPr>
        <w:t xml:space="preserve">1.10  AB 239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AB 239, enacted in 2025, amended several </w:t>
      </w:r>
      <w:r>
        <w:rPr>
          <w:rFonts w:ascii="Times New Roman" w:cs="Times New Roman" w:eastAsia="Times New Roman" w:hAnsi="Times New Roman"/>
          <w:b/>
          <w:bCs/>
          <w:i w:val="false"/>
          <w:iCs w:val="false"/>
          <w:color w:val="000000"/>
          <w:sz w:val="24"/>
          <w:szCs w:val="24"/>
        </w:rPr>
        <w:t xml:space="preserve">NRS Chapter 86</w:t>
      </w:r>
      <w:r>
        <w:rPr>
          <w:rFonts w:ascii="Times New Roman" w:cs="Times New Roman" w:eastAsia="Times New Roman" w:hAnsi="Times New Roman"/>
          <w:b w:val="false"/>
          <w:bCs w:val="false"/>
          <w:i w:val="false"/>
          <w:iCs w:val="false"/>
          <w:color w:val="000000"/>
          <w:sz w:val="24"/>
          <w:szCs w:val="24"/>
        </w:rPr>
        <w:t xml:space="preserve"> provisions affecting member and manager address requirements and certain dissolution procedures. Review this Agreement against the current statute if drafted before 2025.</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Nevada Limited-Liability Company Act, NRS Chapter 86,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w:t>
      </w:r>
      <w:r>
        <w:rPr>
          <w:rFonts w:ascii="Times New Roman" w:cs="Times New Roman" w:eastAsia="Times New Roman" w:hAnsi="Times New Roman"/>
          <w:b/>
          <w:bCs/>
          <w:i w:val="false"/>
          <w:iCs w:val="false"/>
          <w:color w:val="000000"/>
          <w:sz w:val="24"/>
          <w:szCs w:val="24"/>
        </w:rPr>
        <w:t xml:space="preserve">Nevada Secretary of State</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economic rights (right to receive distributions) assignable under NRS 86.351 </w:t>
      </w:r>
      <w:r>
        <w:rPr>
          <w:rFonts w:ascii="Times New Roman" w:cs="Times New Roman" w:eastAsia="Times New Roman" w:hAnsi="Times New Roman"/>
          <w:b/>
          <w:bCs/>
          <w:i w:val="false"/>
          <w:iCs w:val="false"/>
          <w:color w:val="000000"/>
          <w:sz w:val="24"/>
          <w:szCs w:val="24"/>
        </w:rPr>
        <w:t xml:space="preserve">without conferring management rights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NRS 86.401(2)(a), available whether the LLC has one member or more than one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 if this Agreement were silent, distributions would be proportional to the </w:t>
      </w:r>
      <w:r>
        <w:rPr>
          <w:rFonts w:ascii="Times New Roman" w:cs="Times New Roman" w:eastAsia="Times New Roman" w:hAnsi="Times New Roman"/>
          <w:b/>
          <w:bCs/>
          <w:i w:val="false"/>
          <w:iCs w:val="false"/>
          <w:color w:val="000000"/>
          <w:sz w:val="24"/>
          <w:szCs w:val="24"/>
        </w:rPr>
        <w:t xml:space="preserve">value of contributions made and not returned</w:t>
      </w:r>
      <w:r>
        <w:rPr>
          <w:rFonts w:ascii="Times New Roman" w:cs="Times New Roman" w:eastAsia="Times New Roman" w:hAnsi="Times New Roman"/>
          <w:b w:val="false"/>
          <w:bCs w:val="false"/>
          <w:i w:val="false"/>
          <w:iCs w:val="false"/>
          <w:color w:val="000000"/>
          <w:sz w:val="24"/>
          <w:szCs w:val="24"/>
        </w:rPr>
        <w:t xml:space="preserve"> — not per capita. If ownership percentages don't match contribution ratios, that must be specified expressly in Exhibit 1.</w:t>
      </w:r>
    </w:p>
    <w:p>
      <w:pPr>
        <w:spacing w:after="60" w:before="120" w:line="276" w:lineRule="auto"/>
      </w:pPr>
      <w:r>
        <w:rPr>
          <w:rFonts w:ascii="Times New Roman" w:cs="Times New Roman" w:eastAsia="Times New Roman" w:hAnsi="Times New Roman"/>
          <w:b/>
          <w:bCs/>
          <w:color w:val="000000"/>
          <w:sz w:val="24"/>
          <w:szCs w:val="24"/>
        </w:rPr>
        <w:t xml:space="preserve">III.02  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 the default allocates in proportion to the value of contributions made and not returned. The Members override this default: all distributions shall be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statutory default 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determined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in interest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Nevada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has </w:t>
      </w:r>
      <w:r>
        <w:rPr>
          <w:rFonts w:ascii="Times New Roman" w:cs="Times New Roman" w:eastAsia="Times New Roman" w:hAnsi="Times New Roman"/>
          <w:b/>
          <w:bCs/>
          <w:i w:val="false"/>
          <w:iCs w:val="false"/>
          <w:color w:val="000000"/>
          <w:sz w:val="24"/>
          <w:szCs w:val="24"/>
        </w:rPr>
        <w:t xml:space="preserve">no personal or corporate income tax</w:t>
      </w:r>
      <w:r>
        <w:rPr>
          <w:rFonts w:ascii="Times New Roman" w:cs="Times New Roman" w:eastAsia="Times New Roman" w:hAnsi="Times New Roman"/>
          <w:b w:val="false"/>
          <w:bCs w:val="false"/>
          <w:i w:val="false"/>
          <w:iCs w:val="false"/>
          <w:color w:val="000000"/>
          <w:sz w:val="24"/>
          <w:szCs w:val="24"/>
        </w:rPr>
        <w:t xml:space="preserve">. Federal classification: single-member LLCs are disregarded entities; multi-member LLCs are partnerships by default; corporate election via Form 8832 or Form 2553. LLCs with Nevada gross revenue exceeding </w:t>
      </w:r>
      <w:r>
        <w:rPr>
          <w:rFonts w:ascii="Times New Roman" w:cs="Times New Roman" w:eastAsia="Times New Roman" w:hAnsi="Times New Roman"/>
          <w:b/>
          <w:bCs/>
          <w:i w:val="false"/>
          <w:iCs w:val="false"/>
          <w:color w:val="000000"/>
          <w:sz w:val="24"/>
          <w:szCs w:val="24"/>
        </w:rPr>
        <w:t xml:space="preserve">$4,000,000</w:t>
      </w:r>
      <w:r>
        <w:rPr>
          <w:rFonts w:ascii="Times New Roman" w:cs="Times New Roman" w:eastAsia="Times New Roman" w:hAnsi="Times New Roman"/>
          <w:b w:val="false"/>
          <w:bCs w:val="false"/>
          <w:i w:val="false"/>
          <w:iCs w:val="false"/>
          <w:color w:val="000000"/>
          <w:sz w:val="24"/>
          <w:szCs w:val="24"/>
        </w:rPr>
        <w:t xml:space="preserve"> owe the Commerce Tax (NRS Chapter 363C); 2025-2026 return due </w:t>
      </w:r>
      <w:r>
        <w:rPr>
          <w:rFonts w:ascii="Times New Roman" w:cs="Times New Roman" w:eastAsia="Times New Roman" w:hAnsi="Times New Roman"/>
          <w:b/>
          <w:bCs/>
          <w:i w:val="false"/>
          <w:iCs w:val="false"/>
          <w:color w:val="000000"/>
          <w:sz w:val="24"/>
          <w:szCs w:val="24"/>
        </w:rPr>
        <w:t xml:space="preserve">August 14, 2026</w:t>
      </w:r>
      <w:r>
        <w:rPr>
          <w:rFonts w:ascii="Times New Roman" w:cs="Times New Roman" w:eastAsia="Times New Roman" w:hAnsi="Times New Roman"/>
          <w:b w:val="false"/>
          <w:bCs w:val="false"/>
          <w:i w:val="false"/>
          <w:iCs w:val="false"/>
          <w:color w:val="000000"/>
          <w:sz w:val="24"/>
          <w:szCs w:val="24"/>
        </w:rPr>
        <w:t xml:space="preserve">. LLCs with employees also pay the Modified Business Tax (quarterly).</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member-managed under NRS 86.291(1). The Sole Member has full authority to manage and bind the Company. The Articles list the initial member per NRS 86.161.</w:t>
      </w:r>
    </w:p>
    <w:p>
      <w:pPr>
        <w:spacing w:after="60" w:before="120" w:line="276" w:lineRule="auto"/>
      </w:pPr>
      <w:r>
        <w:rPr>
          <w:rFonts w:ascii="Times New Roman" w:cs="Times New Roman" w:eastAsia="Times New Roman" w:hAnsi="Times New Roman"/>
          <w:b/>
          <w:bCs/>
          <w:color w:val="000000"/>
          <w:sz w:val="24"/>
          <w:szCs w:val="24"/>
        </w:rPr>
        <w:t xml:space="preserve">5.02  OA Not Required — Adopted for Certainty.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 a Nevada LLC may, but is not required to, adopt an operating agreement. The Sole Member has elected to adopt this WRITTEN Agreement for banking, entity-separateness documentation, and enforceability.</w:t>
      </w:r>
    </w:p>
    <w:p>
      <w:pPr>
        <w:spacing w:after="60" w:before="120" w:line="276" w:lineRule="auto"/>
      </w:pPr>
      <w:r>
        <w:rPr>
          <w:rFonts w:ascii="Times New Roman" w:cs="Times New Roman" w:eastAsia="Times New Roman" w:hAnsi="Times New Roman"/>
          <w:b/>
          <w:bCs/>
          <w:color w:val="000000"/>
          <w:sz w:val="24"/>
          <w:szCs w:val="24"/>
        </w:rPr>
        <w:t xml:space="preserve">5.03  Fiduciary Duty — Nevada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86.298</w:t>
      </w:r>
      <w:r>
        <w:rPr>
          <w:rFonts w:ascii="Times New Roman" w:cs="Times New Roman" w:eastAsia="Times New Roman" w:hAnsi="Times New Roman"/>
          <w:b w:val="false"/>
          <w:bCs w:val="false"/>
          <w:i w:val="false"/>
          <w:iCs w:val="false"/>
          <w:color w:val="000000"/>
          <w:sz w:val="24"/>
          <w:szCs w:val="24"/>
        </w:rPr>
        <w:t xml:space="preserve">, the Sole Member's duties are ONLY the implied contractual covenant of good faith and fair dealing, plus any additional duties expressly prescribed below. Good faith cannot be eliminated (</w:t>
      </w:r>
      <w:r>
        <w:rPr>
          <w:rFonts w:ascii="Times New Roman" w:cs="Times New Roman" w:eastAsia="Times New Roman" w:hAnsi="Times New Roman"/>
          <w:b/>
          <w:bCs/>
          <w:i w:val="false"/>
          <w:iCs w:val="false"/>
          <w:color w:val="000000"/>
          <w:sz w:val="24"/>
          <w:szCs w:val="24"/>
        </w:rPr>
        <w:t xml:space="preserve">NRS 86.286(5) and (7)</w:t>
      </w:r>
      <w:r>
        <w:rPr>
          <w:rFonts w:ascii="Times New Roman" w:cs="Times New Roman" w:eastAsia="Times New Roman" w:hAnsi="Times New Roman"/>
          <w:b w:val="false"/>
          <w:bCs w:val="false"/>
          <w:i w:val="false"/>
          <w:iCs w:val="false"/>
          <w:color w:val="000000"/>
          <w:sz w:val="24"/>
          <w:szCs w:val="24"/>
        </w:rPr>
        <w:t xml:space="preserve">). Additional duties: </w:t>
      </w:r>
      <w:r>
        <w:rPr>
          <w:rFonts w:ascii="Times New Roman" w:cs="Times New Roman" w:eastAsia="Times New Roman" w:hAnsi="Times New Roman"/>
          <w:b/>
          <w:bCs/>
          <w:color w:val="990000"/>
          <w:sz w:val="24"/>
          <w:szCs w:val="24"/>
        </w:rPr>
        <w:t xml:space="preserve">[None beyond good faith (default) / duty of loyalty / duty of care / specify]</w:t>
      </w:r>
    </w:p>
    <w:p>
      <w:pPr>
        <w:spacing w:after="60" w:before="120" w:line="276" w:lineRule="auto"/>
      </w:pPr>
      <w:r>
        <w:rPr>
          <w:rFonts w:ascii="Times New Roman" w:cs="Times New Roman" w:eastAsia="Times New Roman" w:hAnsi="Times New Roman"/>
          <w:b/>
          <w:bCs/>
          <w:color w:val="000000"/>
          <w:sz w:val="24"/>
          <w:szCs w:val="24"/>
        </w:rPr>
        <w:t xml:space="preserve">5.04  Charging Order —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86.401(2)(a)</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remedy for a judgment creditor against the Sole Member's Transferable Interest, </w:t>
      </w:r>
      <w:r>
        <w:rPr>
          <w:rFonts w:ascii="Times New Roman" w:cs="Times New Roman" w:eastAsia="Times New Roman" w:hAnsi="Times New Roman"/>
          <w:b/>
          <w:bCs/>
          <w:i w:val="false"/>
          <w:iCs w:val="false"/>
          <w:color w:val="000000"/>
          <w:sz w:val="24"/>
          <w:szCs w:val="24"/>
        </w:rPr>
        <w:t xml:space="preserve">WHETHER THE LLC HAS ONE MEMBER OR MORE THAN ONE MEMBER</w:t>
      </w:r>
      <w:r>
        <w:rPr>
          <w:rFonts w:ascii="Times New Roman" w:cs="Times New Roman" w:eastAsia="Times New Roman" w:hAnsi="Times New Roman"/>
          <w:b w:val="false"/>
          <w:bCs w:val="false"/>
          <w:i w:val="false"/>
          <w:iCs w:val="false"/>
          <w:color w:val="000000"/>
          <w:sz w:val="24"/>
          <w:szCs w:val="24"/>
        </w:rPr>
        <w:t xml:space="preserve">. Nevada is one of the few states that extends charging-order exclusivity to single-member LLCs.</w:t>
      </w:r>
    </w:p>
    <w:p>
      <w:pPr>
        <w:spacing w:after="60" w:before="120" w:line="276" w:lineRule="auto"/>
      </w:pPr>
      <w:r>
        <w:rPr>
          <w:rFonts w:ascii="Times New Roman" w:cs="Times New Roman" w:eastAsia="Times New Roman" w:hAnsi="Times New Roman"/>
          <w:b/>
          <w:bCs/>
          <w:color w:val="000000"/>
          <w:sz w:val="24"/>
          <w:szCs w:val="24"/>
        </w:rPr>
        <w:t xml:space="preserve">5.05  Sole-Member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86.491</w:t>
      </w:r>
      <w:r>
        <w:rPr>
          <w:rFonts w:ascii="Times New Roman" w:cs="Times New Roman" w:eastAsia="Times New Roman" w:hAnsi="Times New Roman"/>
          <w:b w:val="false"/>
          <w:bCs w:val="false"/>
          <w:i w:val="false"/>
          <w:iCs w:val="false"/>
          <w:color w:val="000000"/>
          <w:sz w:val="24"/>
          <w:szCs w:val="24"/>
        </w:rPr>
        <w:t xml:space="preserve">, the Sole Member's death does NOT automatically dissolve the Company. Successor / continuation: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5.06  Alter Ego Warning.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alter-ego doctrine applies to LLCs (</w:t>
      </w:r>
      <w:r>
        <w:rPr>
          <w:rFonts w:ascii="Times New Roman" w:cs="Times New Roman" w:eastAsia="Times New Roman" w:hAnsi="Times New Roman"/>
          <w:b w:val="false"/>
          <w:bCs w:val="false"/>
          <w:i/>
          <w:iCs/>
          <w:color w:val="000000"/>
          <w:sz w:val="24"/>
          <w:szCs w:val="24"/>
        </w:rPr>
        <w:t xml:space="preserve">Ene v. Graham, 2024</w:t>
      </w:r>
      <w:r>
        <w:rPr>
          <w:rFonts w:ascii="Times New Roman" w:cs="Times New Roman" w:eastAsia="Times New Roman" w:hAnsi="Times New Roman"/>
          <w:b w:val="false"/>
          <w:bCs w:val="false"/>
          <w:i w:val="false"/>
          <w:iCs w:val="false"/>
          <w:color w:val="000000"/>
          <w:sz w:val="24"/>
          <w:szCs w:val="24"/>
        </w:rPr>
        <w:t xml:space="preserve">). To maintain the liability shield under </w:t>
      </w:r>
      <w:r>
        <w:rPr>
          <w:rFonts w:ascii="Times New Roman" w:cs="Times New Roman" w:eastAsia="Times New Roman" w:hAnsi="Times New Roman"/>
          <w:b/>
          <w:bCs/>
          <w:i w:val="false"/>
          <w:iCs w:val="false"/>
          <w:color w:val="000000"/>
          <w:sz w:val="24"/>
          <w:szCs w:val="24"/>
        </w:rPr>
        <w:t xml:space="preserve">NRS 86.371</w:t>
      </w:r>
      <w:r>
        <w:rPr>
          <w:rFonts w:ascii="Times New Roman" w:cs="Times New Roman" w:eastAsia="Times New Roman" w:hAnsi="Times New Roman"/>
          <w:b w:val="false"/>
          <w:bCs w:val="false"/>
          <w:i w:val="false"/>
          <w:iCs w:val="false"/>
          <w:color w:val="000000"/>
          <w:sz w:val="24"/>
          <w:szCs w:val="24"/>
        </w:rPr>
        <w:t xml:space="preserve">, keep Company assets separate from personal assets and observe basic formalities.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86.351(1)</w:t>
      </w:r>
      <w:r>
        <w:rPr>
          <w:rFonts w:ascii="Times New Roman" w:cs="Times New Roman" w:eastAsia="Times New Roman" w:hAnsi="Times New Roman"/>
          <w:b w:val="false"/>
          <w:bCs w:val="false"/>
          <w:i w:val="false"/>
          <w:iCs w:val="false"/>
          <w:color w:val="000000"/>
          <w:sz w:val="24"/>
          <w:szCs w:val="24"/>
        </w:rPr>
        <w:t xml:space="preserve">, a transferee has only economic rights. The transferee does NOT become a Member or gain management rights unless a </w:t>
      </w:r>
      <w:r>
        <w:rPr>
          <w:rFonts w:ascii="Times New Roman" w:cs="Times New Roman" w:eastAsia="Times New Roman" w:hAnsi="Times New Roman"/>
          <w:b/>
          <w:bCs/>
          <w:i w:val="false"/>
          <w:iCs w:val="false"/>
          <w:color w:val="000000"/>
          <w:sz w:val="24"/>
          <w:szCs w:val="24"/>
        </w:rPr>
        <w:t xml:space="preserve">majority in interest of the other Members</w:t>
      </w:r>
      <w:r>
        <w:rPr>
          <w:rFonts w:ascii="Times New Roman" w:cs="Times New Roman" w:eastAsia="Times New Roman" w:hAnsi="Times New Roman"/>
          <w:b w:val="false"/>
          <w:bCs w:val="false"/>
          <w:i w:val="false"/>
          <w:iCs w:val="false"/>
          <w:color w:val="000000"/>
          <w:sz w:val="24"/>
          <w:szCs w:val="24"/>
        </w:rPr>
        <w:t xml:space="preserve"> approves, or the Articles or this Agreement provide otherwise.</w:t>
      </w:r>
    </w:p>
    <w:p>
      <w:pPr>
        <w:spacing w:after="60" w:before="120" w:line="276" w:lineRule="auto"/>
      </w:pPr>
      <w:r>
        <w:rPr>
          <w:rFonts w:ascii="Times New Roman" w:cs="Times New Roman" w:eastAsia="Times New Roman" w:hAnsi="Times New Roman"/>
          <w:b/>
          <w:bCs/>
          <w:color w:val="000000"/>
          <w:sz w:val="24"/>
          <w:szCs w:val="24"/>
        </w:rPr>
        <w:t xml:space="preserve">VI.02  Charging Order —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86.401(2)(a)</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remedy for a judgment creditor whether the LLC has one member or more than one member. Creditor has only assignee rights (</w:t>
      </w:r>
      <w:r>
        <w:rPr>
          <w:rFonts w:ascii="Times New Roman" w:cs="Times New Roman" w:eastAsia="Times New Roman" w:hAnsi="Times New Roman"/>
          <w:b w:val="false"/>
          <w:bCs w:val="false"/>
          <w:i/>
          <w:iCs/>
          <w:color w:val="000000"/>
          <w:sz w:val="24"/>
          <w:szCs w:val="24"/>
        </w:rPr>
        <w:t xml:space="preserve">Weddell v. H2O, Inc., 2012</w:t>
      </w:r>
      <w:r>
        <w:rPr>
          <w:rFonts w:ascii="Times New Roman" w:cs="Times New Roman" w:eastAsia="Times New Roman" w:hAnsi="Times New Roman"/>
          <w:b w:val="false"/>
          <w:bCs w:val="false"/>
          <w:i w:val="false"/>
          <w:iCs w:val="false"/>
          <w:color w:val="000000"/>
          <w:sz w:val="24"/>
          <w:szCs w:val="24"/>
        </w:rPr>
        <w:t xml:space="preserve">). Draft transfer restrictions consistent with this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prohibition / other]</w:t>
      </w:r>
    </w:p>
    <w:p>
      <w:pPr>
        <w:spacing w:after="60" w:before="120" w:line="276" w:lineRule="auto"/>
      </w:pPr>
      <w:r>
        <w:rPr>
          <w:rFonts w:ascii="Times New Roman" w:cs="Times New Roman" w:eastAsia="Times New Roman" w:hAnsi="Times New Roman"/>
          <w:b/>
          <w:bCs/>
          <w:color w:val="000000"/>
          <w:sz w:val="24"/>
          <w:szCs w:val="24"/>
        </w:rPr>
        <w:t xml:space="preserve">VI.04  Buy-Sell Triggers.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events trigger a buy-sell obligation: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Death or incapacity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Voluntary exit or retirement.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Involuntary transfer (divorce, bankruptcy, judgment lien).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appraised FMV / formula-based]</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INDEMNIFICATION, LIABILITY, AND INSURANCE</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86.371</w:t>
      </w:r>
      <w:r>
        <w:rPr>
          <w:rFonts w:ascii="Times New Roman" w:cs="Times New Roman" w:eastAsia="Times New Roman" w:hAnsi="Times New Roman"/>
          <w:b w:val="false"/>
          <w:bCs w:val="false"/>
          <w:i w:val="false"/>
          <w:iCs w:val="false"/>
          <w:color w:val="000000"/>
          <w:sz w:val="24"/>
          <w:szCs w:val="24"/>
        </w:rPr>
        <w:t xml:space="preserve">, Members and Managers are shielded from personal liability for Company debts solely by reason of their status. Limits: (a) the shield does NOT protect from </w:t>
      </w:r>
      <w:r>
        <w:rPr>
          <w:rFonts w:ascii="Times New Roman" w:cs="Times New Roman" w:eastAsia="Times New Roman" w:hAnsi="Times New Roman"/>
          <w:b/>
          <w:bCs/>
          <w:i w:val="false"/>
          <w:iCs w:val="false"/>
          <w:color w:val="000000"/>
          <w:sz w:val="24"/>
          <w:szCs w:val="24"/>
        </w:rPr>
        <w:t xml:space="preserve">personal negligence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000000"/>
          <w:sz w:val="24"/>
          <w:szCs w:val="24"/>
        </w:rPr>
        <w:t xml:space="preserve">Gardner v. Eighth Judicial District Court, 2017</w:t>
      </w:r>
      <w:r>
        <w:rPr>
          <w:rFonts w:ascii="Times New Roman" w:cs="Times New Roman" w:eastAsia="Times New Roman" w:hAnsi="Times New Roman"/>
          <w:b w:val="false"/>
          <w:bCs w:val="false"/>
          <w:i w:val="false"/>
          <w:iCs w:val="false"/>
          <w:color w:val="000000"/>
          <w:sz w:val="24"/>
          <w:szCs w:val="24"/>
        </w:rPr>
        <w:t xml:space="preserve">); (b) Nevada </w:t>
      </w:r>
      <w:r>
        <w:rPr>
          <w:rFonts w:ascii="Times New Roman" w:cs="Times New Roman" w:eastAsia="Times New Roman" w:hAnsi="Times New Roman"/>
          <w:b/>
          <w:bCs/>
          <w:i w:val="false"/>
          <w:iCs w:val="false"/>
          <w:color w:val="000000"/>
          <w:sz w:val="24"/>
          <w:szCs w:val="24"/>
        </w:rPr>
        <w:t xml:space="preserve">alter-ego doctrine</w:t>
      </w:r>
      <w:r>
        <w:rPr>
          <w:rFonts w:ascii="Times New Roman" w:cs="Times New Roman" w:eastAsia="Times New Roman" w:hAnsi="Times New Roman"/>
          <w:b w:val="false"/>
          <w:bCs w:val="false"/>
          <w:i w:val="false"/>
          <w:iCs w:val="false"/>
          <w:color w:val="000000"/>
          <w:sz w:val="24"/>
          <w:szCs w:val="24"/>
        </w:rPr>
        <w:t xml:space="preserve"> still applies (</w:t>
      </w:r>
      <w:r>
        <w:rPr>
          <w:rFonts w:ascii="Times New Roman" w:cs="Times New Roman" w:eastAsia="Times New Roman" w:hAnsi="Times New Roman"/>
          <w:b w:val="false"/>
          <w:bCs w:val="false"/>
          <w:i/>
          <w:iCs/>
          <w:color w:val="000000"/>
          <w:sz w:val="24"/>
          <w:szCs w:val="24"/>
        </w:rPr>
        <w:t xml:space="preserve">Ene v. Graham, 2024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VII.02  Indemnification (NRS 86.411–86.471).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has a detailed LLC indemnification regime. This Agreement coordinates with that statutory baseline. Indemnification scope: </w:t>
      </w:r>
      <w:r>
        <w:rPr>
          <w:rFonts w:ascii="Times New Roman" w:cs="Times New Roman" w:eastAsia="Times New Roman" w:hAnsi="Times New Roman"/>
          <w:b/>
          <w:bCs/>
          <w:color w:val="990000"/>
          <w:sz w:val="24"/>
          <w:szCs w:val="24"/>
        </w:rPr>
        <w:t xml:space="preserve">[As required by statute / enhanced / limited]</w:t>
      </w:r>
      <w:r>
        <w:rPr>
          <w:rFonts w:ascii="Times New Roman" w:cs="Times New Roman" w:eastAsia="Times New Roman" w:hAnsi="Times New Roman"/>
          <w:b w:val="false"/>
          <w:bCs w:val="false"/>
          <w:i w:val="false"/>
          <w:iCs w:val="false"/>
          <w:color w:val="000000"/>
          <w:sz w:val="24"/>
          <w:szCs w:val="24"/>
        </w:rPr>
        <w:t xml:space="preserve">. Exclusions: no indemnification for fraud, bad faith, or willful misconduct.</w:t>
      </w:r>
    </w:p>
    <w:p>
      <w:pPr>
        <w:spacing w:after="60" w:before="120" w:line="276" w:lineRule="auto"/>
      </w:pPr>
      <w:r>
        <w:rPr>
          <w:rFonts w:ascii="Times New Roman" w:cs="Times New Roman" w:eastAsia="Times New Roman" w:hAnsi="Times New Roman"/>
          <w:b/>
          <w:bCs/>
          <w:color w:val="000000"/>
          <w:sz w:val="24"/>
          <w:szCs w:val="24"/>
        </w:rPr>
        <w:t xml:space="preserve">VII.03  Advancement of Expenses.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advance expenses before final adjudication, subject to an undertaking to repay if ultimately not entitled to indemnification.</w:t>
      </w:r>
    </w:p>
    <w:p>
      <w:pPr>
        <w:spacing w:after="60" w:before="120" w:line="276" w:lineRule="auto"/>
      </w:pPr>
      <w:r>
        <w:rPr>
          <w:rFonts w:ascii="Times New Roman" w:cs="Times New Roman" w:eastAsia="Times New Roman" w:hAnsi="Times New Roman"/>
          <w:b/>
          <w:bCs/>
          <w:color w:val="000000"/>
          <w:sz w:val="24"/>
          <w:szCs w:val="24"/>
        </w:rPr>
        <w:t xml:space="preserve">VII.04  Good Faith Floor — Non-Waivable.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86.286(5) and (7)</w:t>
      </w:r>
      <w:r>
        <w:rPr>
          <w:rFonts w:ascii="Times New Roman" w:cs="Times New Roman" w:eastAsia="Times New Roman" w:hAnsi="Times New Roman"/>
          <w:b w:val="false"/>
          <w:bCs w:val="false"/>
          <w:i w:val="false"/>
          <w:iCs w:val="false"/>
          <w:color w:val="000000"/>
          <w:sz w:val="24"/>
          <w:szCs w:val="24"/>
        </w:rPr>
        <w:t xml:space="preserve">, the implied contractual covenant of good faith and fair dealing cannot be eliminated. This Agreement may not limit or eliminate liability for </w:t>
      </w:r>
      <w:r>
        <w:rPr>
          <w:rFonts w:ascii="Times New Roman" w:cs="Times New Roman" w:eastAsia="Times New Roman" w:hAnsi="Times New Roman"/>
          <w:b/>
          <w:bCs/>
          <w:i w:val="false"/>
          <w:iCs w:val="false"/>
          <w:color w:val="000000"/>
          <w:sz w:val="24"/>
          <w:szCs w:val="24"/>
        </w:rPr>
        <w:t xml:space="preserve">bad-faith violations</w:t>
      </w:r>
      <w:r>
        <w:rPr>
          <w:rFonts w:ascii="Times New Roman" w:cs="Times New Roman" w:eastAsia="Times New Roman" w:hAnsi="Times New Roman"/>
          <w:b w:val="false"/>
          <w:bCs w:val="false"/>
          <w:i w:val="false"/>
          <w:iCs w:val="false"/>
          <w:color w:val="000000"/>
          <w:sz w:val="24"/>
          <w:szCs w:val="24"/>
        </w:rPr>
        <w:t xml:space="preserve"> of that covenant.</w:t>
      </w:r>
    </w:p>
    <w:p>
      <w:pPr>
        <w:spacing w:after="60" w:before="120" w:line="276" w:lineRule="auto"/>
      </w:pPr>
      <w:r>
        <w:rPr>
          <w:rFonts w:ascii="Times New Roman" w:cs="Times New Roman" w:eastAsia="Times New Roman" w:hAnsi="Times New Roman"/>
          <w:b/>
          <w:bCs/>
          <w:color w:val="000000"/>
          <w:sz w:val="24"/>
          <w:szCs w:val="24"/>
        </w:rPr>
        <w:t xml:space="preserve">VII.05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managers/members liability insurance.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NRS 86.491(1)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Expiration of the period fixed in the Articles.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Affirmative vote or written agreement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(default). Elected threshold: </w:t>
      </w:r>
      <w:r>
        <w:rPr>
          <w:rFonts w:ascii="Times New Roman" w:cs="Times New Roman" w:eastAsia="Times New Roman" w:hAnsi="Times New Roman"/>
          <w:b/>
          <w:bCs/>
          <w:color w:val="990000"/>
          <w:sz w:val="24"/>
          <w:szCs w:val="24"/>
        </w:rPr>
        <w:t xml:space="preserve">[Unanimous (default) / majority in interest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NRS 86.495</w:t>
      </w:r>
      <w:r>
        <w:rPr>
          <w:rFonts w:ascii="Times New Roman" w:cs="Times New Roman" w:eastAsia="Times New Roman" w:hAnsi="Times New Roman"/>
          <w:b w:val="false"/>
          <w:bCs w:val="false"/>
          <w:i w:val="false"/>
          <w:iCs w:val="false"/>
          <w:color w:val="000000"/>
          <w:sz w:val="24"/>
          <w:szCs w:val="24"/>
        </w:rPr>
        <w:t xml:space="preserve"> (not reasonably practicable to carry on the business).</w:t>
      </w:r>
    </w:p>
    <w:p>
      <w:pPr>
        <w:spacing w:after="60" w:before="120" w:line="276" w:lineRule="auto"/>
      </w:pPr>
      <w:r>
        <w:rPr>
          <w:rFonts w:ascii="Times New Roman" w:cs="Times New Roman" w:eastAsia="Times New Roman" w:hAnsi="Times New Roman"/>
          <w:b/>
          <w:bCs/>
          <w:color w:val="000000"/>
          <w:sz w:val="24"/>
          <w:szCs w:val="24"/>
        </w:rPr>
        <w:t xml:space="preserve">VIII.02  Sole-Member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86.491</w:t>
      </w:r>
      <w:r>
        <w:rPr>
          <w:rFonts w:ascii="Times New Roman" w:cs="Times New Roman" w:eastAsia="Times New Roman" w:hAnsi="Times New Roman"/>
          <w:b w:val="false"/>
          <w:bCs w:val="false"/>
          <w:i w:val="false"/>
          <w:iCs w:val="false"/>
          <w:color w:val="000000"/>
          <w:sz w:val="24"/>
          <w:szCs w:val="24"/>
        </w:rPr>
        <w:t xml:space="preserve">, a sole member's death does NOT automatically dissolve the Company. The interest may pass by will or applicable law. Without a succession clause, the family may be unable to access bank accounts for weeks. Successor / continuation: </w:t>
      </w:r>
      <w:r>
        <w:rPr>
          <w:rFonts w:ascii="Times New Roman" w:cs="Times New Roman" w:eastAsia="Times New Roman" w:hAnsi="Times New Roman"/>
          <w:b/>
          <w:bCs/>
          <w:color w:val="990000"/>
          <w:sz w:val="24"/>
          <w:szCs w:val="24"/>
        </w:rPr>
        <w:t xml:space="preserve">[Name successor / continuation procedure]</w:t>
      </w:r>
    </w:p>
    <w:p>
      <w:pPr>
        <w:spacing w:after="60" w:before="120" w:line="276" w:lineRule="auto"/>
      </w:pPr>
      <w:r>
        <w:rPr>
          <w:rFonts w:ascii="Times New Roman" w:cs="Times New Roman" w:eastAsia="Times New Roman" w:hAnsi="Times New Roman"/>
          <w:b/>
          <w:bCs/>
          <w:color w:val="000000"/>
          <w:sz w:val="24"/>
          <w:szCs w:val="24"/>
        </w:rPr>
        <w:t xml:space="preserve">VIII.03  Winding Up and Articles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the LLC continues for winding-up purposes (</w:t>
      </w:r>
      <w:r>
        <w:rPr>
          <w:rFonts w:ascii="Times New Roman" w:cs="Times New Roman" w:eastAsia="Times New Roman" w:hAnsi="Times New Roman"/>
          <w:b/>
          <w:bCs/>
          <w:i w:val="false"/>
          <w:iCs w:val="false"/>
          <w:color w:val="000000"/>
          <w:sz w:val="24"/>
          <w:szCs w:val="24"/>
        </w:rPr>
        <w:t xml:space="preserve">NRS 86.505</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to Members by Ownership Interest (</w:t>
      </w:r>
      <w:r>
        <w:rPr>
          <w:rFonts w:ascii="Times New Roman" w:cs="Times New Roman" w:eastAsia="Times New Roman" w:hAnsi="Times New Roman"/>
          <w:b/>
          <w:bCs/>
          <w:i w:val="false"/>
          <w:iCs w:val="false"/>
          <w:color w:val="000000"/>
          <w:sz w:val="24"/>
          <w:szCs w:val="24"/>
        </w:rPr>
        <w:t xml:space="preserve">NRS 86.521</w:t>
      </w:r>
      <w:r>
        <w:rPr>
          <w:rFonts w:ascii="Times New Roman" w:cs="Times New Roman" w:eastAsia="Times New Roman" w:hAnsi="Times New Roman"/>
          <w:b w:val="false"/>
          <w:bCs w:val="false"/>
          <w:i w:val="false"/>
          <w:iCs w:val="false"/>
          <w:color w:val="000000"/>
          <w:sz w:val="24"/>
          <w:szCs w:val="24"/>
        </w:rPr>
        <w:t xml:space="preserve">). File Articles of Dissolution with the SOS (</w:t>
      </w:r>
      <w:r>
        <w:rPr>
          <w:rFonts w:ascii="Times New Roman" w:cs="Times New Roman" w:eastAsia="Times New Roman" w:hAnsi="Times New Roman"/>
          <w:b/>
          <w:bCs/>
          <w:i w:val="false"/>
          <w:iCs w:val="false"/>
          <w:color w:val="000000"/>
          <w:sz w:val="24"/>
          <w:szCs w:val="24"/>
        </w:rPr>
        <w:t xml:space="preserve">NRS 86.531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VIII.04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specify]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 amendments require </w:t>
      </w:r>
      <w:r>
        <w:rPr>
          <w:rFonts w:ascii="Times New Roman" w:cs="Times New Roman" w:eastAsia="Times New Roman" w:hAnsi="Times New Roman"/>
          <w:b/>
          <w:bCs/>
          <w:i w:val="false"/>
          <w:iCs w:val="false"/>
          <w:color w:val="000000"/>
          <w:sz w:val="24"/>
          <w:szCs w:val="24"/>
        </w:rPr>
        <w:t xml:space="preserve">unanimous written consent</w:t>
      </w:r>
      <w:r>
        <w:rPr>
          <w:rFonts w:ascii="Times New Roman" w:cs="Times New Roman" w:eastAsia="Times New Roman" w:hAnsi="Times New Roman"/>
          <w:b w:val="false"/>
          <w:bCs w:val="false"/>
          <w:i w:val="false"/>
          <w:iCs w:val="false"/>
          <w:color w:val="000000"/>
          <w:sz w:val="24"/>
          <w:szCs w:val="24"/>
        </w:rPr>
        <w:t xml:space="preserve"> of all Members by default. Elected threshold: </w:t>
      </w:r>
      <w:r>
        <w:rPr>
          <w:rFonts w:ascii="Times New Roman" w:cs="Times New Roman" w:eastAsia="Times New Roman" w:hAnsi="Times New Roman"/>
          <w:b/>
          <w:bCs/>
          <w:color w:val="990000"/>
          <w:sz w:val="24"/>
          <w:szCs w:val="24"/>
        </w:rPr>
        <w:t xml:space="preserve">[Unanimous (default)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IX.02  Consistency with Articles.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86.286(4)</w:t>
      </w:r>
      <w:r>
        <w:rPr>
          <w:rFonts w:ascii="Times New Roman" w:cs="Times New Roman" w:eastAsia="Times New Roman" w:hAnsi="Times New Roman"/>
          <w:b w:val="false"/>
          <w:bCs w:val="false"/>
          <w:i w:val="false"/>
          <w:iCs w:val="false"/>
          <w:color w:val="000000"/>
          <w:sz w:val="24"/>
          <w:szCs w:val="24"/>
        </w:rPr>
        <w:t xml:space="preserve">, this Agreement may not contain provisions inconsistent with the Articles or Nevada law. Any amendment touching management structure, registered agent, or member/manager information must also update public filings through SilverFlume.</w:t>
      </w:r>
    </w:p>
    <w:p>
      <w:pPr>
        <w:spacing w:after="60" w:before="120" w:line="276" w:lineRule="auto"/>
      </w:pPr>
      <w:r>
        <w:rPr>
          <w:rFonts w:ascii="Times New Roman" w:cs="Times New Roman" w:eastAsia="Times New Roman" w:hAnsi="Times New Roman"/>
          <w:b/>
          <w:bCs/>
          <w:color w:val="000000"/>
          <w:sz w:val="24"/>
          <w:szCs w:val="24"/>
        </w:rPr>
        <w:t xml:space="preserve">IX.03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the Company's internal records alongside the Articles and annual filing receipts.</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Nevada, specifically the Nevada Limited-Liability Company Act, NRS Chapter 86.</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mediation, then binding arbitration, before litigation. Venue: </w:t>
      </w:r>
      <w:r>
        <w:rPr>
          <w:rFonts w:ascii="Times New Roman" w:cs="Times New Roman" w:eastAsia="Times New Roman" w:hAnsi="Times New Roman"/>
          <w:b/>
          <w:bCs/>
          <w:color w:val="990000"/>
          <w:sz w:val="24"/>
          <w:szCs w:val="24"/>
        </w:rPr>
        <w:t xml:space="preserve">[Nevada district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per </w:t>
      </w:r>
      <w:r>
        <w:rPr>
          <w:rFonts w:ascii="Times New Roman" w:cs="Times New Roman" w:eastAsia="Times New Roman" w:hAnsi="Times New Roman"/>
          <w:b/>
          <w:bCs/>
          <w:i w:val="false"/>
          <w:iCs w:val="false"/>
          <w:color w:val="000000"/>
          <w:sz w:val="24"/>
          <w:szCs w:val="24"/>
        </w:rPr>
        <w:t xml:space="preserve">NRS 86.101</w:t>
      </w:r>
      <w:r>
        <w:rPr>
          <w:rFonts w:ascii="Times New Roman" w:cs="Times New Roman" w:eastAsia="Times New Roman" w:hAnsi="Times New Roman"/>
          <w:b w:val="false"/>
          <w:bCs w:val="false"/>
          <w:i w:val="false"/>
          <w:iCs w:val="false"/>
          <w:color w:val="000000"/>
          <w:sz w:val="24"/>
          <w:szCs w:val="24"/>
        </w:rPr>
        <w:t xml:space="preserve"> (tangible or electronic format). Nevada does not require notarization.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X.07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w:t>
      </w:r>
      <w:r>
        <w:rPr>
          <w:rFonts w:ascii="Times New Roman" w:cs="Times New Roman" w:eastAsia="Times New Roman" w:hAnsi="Times New Roman"/>
          <w:b w:val="false"/>
          <w:bCs w:val="false"/>
          <w:i w:val="false"/>
          <w:iCs w:val="false"/>
          <w:color w:val="000000"/>
          <w:sz w:val="24"/>
          <w:szCs w:val="24"/>
        </w:rPr>
        <w:t xml:space="preserve">, Nevada gives maximum effect to the freedom of contract and enforceability of operating agreements, subject to the non-waivable good faith and fair dealing obligation.</w:t>
      </w:r>
    </w:p>
    <w:p>
      <w:pPr>
        <w:spacing w:after="60" w:before="120" w:line="276" w:lineRule="auto"/>
      </w:pPr>
      <w:r>
        <w:rPr>
          <w:rFonts w:ascii="Times New Roman" w:cs="Times New Roman" w:eastAsia="Times New Roman" w:hAnsi="Times New Roman"/>
          <w:b/>
          <w:bCs/>
          <w:color w:val="000000"/>
          <w:sz w:val="24"/>
          <w:szCs w:val="24"/>
        </w:rPr>
        <w:t xml:space="preserve">X.08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 except as expressly stated for non-parties under NRS 86.286(4).</w:t>
      </w:r>
    </w:p>
    <w:p>
      <w:pPr>
        <w:spacing w:after="60" w:before="120" w:line="276" w:lineRule="auto"/>
      </w:pPr>
      <w:r>
        <w:rPr>
          <w:rFonts w:ascii="Times New Roman" w:cs="Times New Roman" w:eastAsia="Times New Roman" w:hAnsi="Times New Roman"/>
          <w:b/>
          <w:bCs/>
          <w:color w:val="000000"/>
          <w:sz w:val="24"/>
          <w:szCs w:val="24"/>
        </w:rPr>
        <w:t xml:space="preserve">X.09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Operating Agreement pursuant to NRS 86.286(1). Nevada does not require notarization. This Agreement is NOT filed with the Nevada Secretary of State. Annual compliance: Initial List due last day of first month after articles ($150); Annual List + State Business License renewal due by anniversary month last day ($150 + $200 = $350/year).</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Nevada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establishes the Sole Member's 100% Ownership Interest and overrides the default distribution rule of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 (proportional to value of contributions made and not returned).</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Nevada limited liability company is provided by Boost Suite for informational and educational purposes only. It does not constitute legal advice and does not create an attorney-client relationship. Boost Suite is not a law firm. This template is based on the Nevada Limited-Liability Company Act, NRS Chapter 86, including NRS 86.101, 86.161, 86.263, 86.272, 86.274, 86.276, 86.286, 86.291, 86.298, 86.326, 86.331, 86.341, 86.351, 86.371, 86.376, 86.401, 86.411-86.471, 86.491, 86.495, 86.531, 86.561, and NRS 76.130. AB 239 (2025) amended Chapter 86 provisions affecting member/manager address requirements and dissolution procedures. Laws change; Boost Suite does not guarantee that this template reflects the most current version of Nevada law. LLCs with complex structures should have this Agreement reviewed by a licensed Nevada attorney.</w:t>
      </w:r>
    </w:p>
    <w:p>
      <w:r>
        <w:br/>
      </w:r>
    </w:p>
    <w:p>
      <w:pPr>
        <w:spacing w:after="80" w:before="0" w:line="276" w:lineRule="auto"/>
      </w:pPr>
      <w:r>
        <w:rPr>
          <w:rFonts w:ascii="Times New Roman" w:cs="Times New Roman" w:eastAsia="Times New Roman" w:hAnsi="Times New Roman"/>
          <w:b/>
          <w:bCs/>
          <w:sz w:val="24"/>
          <w:szCs w:val="24"/>
        </w:rPr>
        <w:t xml:space="preserve">Your Nevada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dz1cn3d33mbogmpokbe6">
        <w:r>
          <w:rPr>
            <w:rFonts w:ascii="Times New Roman" w:cs="Times New Roman" w:eastAsia="Times New Roman" w:hAnsi="Times New Roman"/>
            <w:color w:val="0000CC"/>
            <w:sz w:val="24"/>
            <w:szCs w:val="24"/>
            <w:u w:val="single"/>
          </w:rPr>
          <w:t xml:space="preserve">https://boostsuite.com/llc-operating-agreement/nevada/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vivi2jcve2rf5dm13fxs">
        <w:r>
          <w:rPr>
            <w:rFonts w:ascii="Times New Roman" w:cs="Times New Roman" w:eastAsia="Times New Roman" w:hAnsi="Times New Roman"/>
            <w:color w:val="0000CC"/>
            <w:sz w:val="24"/>
            <w:szCs w:val="24"/>
            <w:u w:val="single"/>
          </w:rPr>
          <w:t xml:space="preserve">https://boostsuite.com/how-to-start-an-llc/nevada/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iocw94dngkdfqvyjcfhh">
        <w:r>
          <w:rPr>
            <w:rFonts w:ascii="Times New Roman" w:cs="Times New Roman" w:eastAsia="Times New Roman" w:hAnsi="Times New Roman"/>
            <w:color w:val="0000CC"/>
            <w:sz w:val="24"/>
            <w:szCs w:val="24"/>
            <w:u w:val="single"/>
          </w:rPr>
          <w:t xml:space="preserve">https://boostsuite.com/how-to-start-an-llc/cost/nevada/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rdz1cn3d33mbogmpokbe6" Type="http://schemas.openxmlformats.org/officeDocument/2006/relationships/hyperlink" Target="https://boostsuite.com/llc-operating-agreement/nevada/" TargetMode="External"/><Relationship Id="rIdvvivi2jcve2rf5dm13fxs" Type="http://schemas.openxmlformats.org/officeDocument/2006/relationships/hyperlink" Target="https://boostsuite.com/how-to-start-an-llc/nevada/" TargetMode="External"/><Relationship Id="rIdiiocw94dngkdfqvyjcfhh" Type="http://schemas.openxmlformats.org/officeDocument/2006/relationships/hyperlink" Target="https://boostsuite.com/how-to-start-an-llc/cost/nevad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2026-04-21T16:07:00.754Z</dcterms:created>
  <dcterms:modified xsi:type="dcterms:W3CDTF">2026-04-21T16:07:00.755Z</dcterms:modified>
</cp:coreProperties>
</file>

<file path=docProps/custom.xml><?xml version="1.0" encoding="utf-8"?>
<Properties xmlns="http://schemas.openxmlformats.org/officeDocument/2006/custom-properties" xmlns:vt="http://schemas.openxmlformats.org/officeDocument/2006/docPropsVTypes"/>
</file>