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MEXICO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New Mexico Limited Liability Company Act, Chapter 53, Article 19, NMSA 1978</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Mexico Limited Liability Company Act, Chapter 53, Article 19, NMSA 1978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 and Online-Only Filing.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New Mexico Secretary of State, Business Services Division through enterprise.sos.nm.gov. The NM SOS states all business filings have moved </w:t>
      </w:r>
      <w:r>
        <w:rPr>
          <w:rFonts w:ascii="Times New Roman" w:cs="Times New Roman" w:eastAsia="Times New Roman" w:hAnsi="Times New Roman"/>
          <w:b/>
          <w:bCs/>
          <w:i w:val="false"/>
          <w:iCs w:val="false"/>
          <w:color w:val="000000"/>
          <w:sz w:val="24"/>
          <w:szCs w:val="24"/>
        </w:rPr>
        <w:t xml:space="preserve">online</w:t>
      </w:r>
      <w:r>
        <w:rPr>
          <w:rFonts w:ascii="Times New Roman" w:cs="Times New Roman" w:eastAsia="Times New Roman" w:hAnsi="Times New Roman"/>
          <w:b w:val="false"/>
          <w:bCs w:val="false"/>
          <w:i w:val="false"/>
          <w:iCs w:val="false"/>
          <w:color w:val="000000"/>
          <w:sz w:val="24"/>
          <w:szCs w:val="24"/>
        </w:rPr>
        <w:t xml:space="preserve">; paper filings are no longer accepted. Statutory filing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 53-19-63); online portal totals may show ~$51.95–$52 due to processing fees. This Operating Agreement is NOT filed with the New Mexico Secretary of State, Business Services Division.</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Agreement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the New Mexico LLC Act defines an operating agreement as a </w:t>
      </w:r>
      <w:r>
        <w:rPr>
          <w:rFonts w:ascii="Times New Roman" w:cs="Times New Roman" w:eastAsia="Times New Roman" w:hAnsi="Times New Roman"/>
          <w:b/>
          <w:bCs/>
          <w:i w:val="false"/>
          <w:iCs w:val="false"/>
          <w:color w:val="000000"/>
          <w:sz w:val="24"/>
          <w:szCs w:val="24"/>
        </w:rPr>
        <w:t xml:space="preserve">WRITTEN AGREEMENT</w:t>
      </w:r>
      <w:r>
        <w:rPr>
          <w:rFonts w:ascii="Times New Roman" w:cs="Times New Roman" w:eastAsia="Times New Roman" w:hAnsi="Times New Roman"/>
          <w:b w:val="false"/>
          <w:bCs w:val="false"/>
          <w:i w:val="false"/>
          <w:iCs w:val="false"/>
          <w:color w:val="000000"/>
          <w:sz w:val="24"/>
          <w:szCs w:val="24"/>
        </w:rPr>
        <w:t xml:space="preserve"> governing the conduct of the Company's business and affairs, including written amendments. Verbal or implied operating arrangements do not qualify as a statutory operating agreement. Under </w:t>
      </w:r>
      <w:r>
        <w:rPr>
          <w:rFonts w:ascii="Times New Roman" w:cs="Times New Roman" w:eastAsia="Times New Roman" w:hAnsi="Times New Roman"/>
          <w:b/>
          <w:bCs/>
          <w:i w:val="false"/>
          <w:iCs w:val="false"/>
          <w:color w:val="000000"/>
          <w:sz w:val="24"/>
          <w:szCs w:val="24"/>
        </w:rPr>
        <w:t xml:space="preserve">§ 53-19-65</w:t>
      </w:r>
      <w:r>
        <w:rPr>
          <w:rFonts w:ascii="Times New Roman" w:cs="Times New Roman" w:eastAsia="Times New Roman" w:hAnsi="Times New Roman"/>
          <w:b w:val="false"/>
          <w:bCs w:val="false"/>
          <w:i w:val="false"/>
          <w:iCs w:val="false"/>
          <w:color w:val="000000"/>
          <w:sz w:val="24"/>
          <w:szCs w:val="24"/>
        </w:rPr>
        <w:t xml:space="preserve">, the policy of the Act is to give </w:t>
      </w:r>
      <w:r>
        <w:rPr>
          <w:rFonts w:ascii="Times New Roman" w:cs="Times New Roman" w:eastAsia="Times New Roman" w:hAnsi="Times New Roman"/>
          <w:b/>
          <w:bCs/>
          <w:i w:val="false"/>
          <w:iCs w:val="false"/>
          <w:color w:val="000000"/>
          <w:sz w:val="24"/>
          <w:szCs w:val="24"/>
        </w:rPr>
        <w:t xml:space="preserve">maximum effect to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1.05  Articles Quirks — Two Required Statements.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Mexico Articles of Organization must include two statements that directly affect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53-19-8(E), NMSA 1978</w:t>
      </w:r>
      <w:r>
        <w:rPr>
          <w:rFonts w:ascii="Times New Roman" w:cs="Times New Roman" w:eastAsia="Times New Roman" w:hAnsi="Times New Roman"/>
          <w:b w:val="false"/>
          <w:bCs w:val="false"/>
          <w:i w:val="false"/>
          <w:iCs w:val="false"/>
          <w:color w:val="000000"/>
          <w:sz w:val="24"/>
          <w:szCs w:val="24"/>
        </w:rPr>
        <w:t xml:space="preserve">, the Articles must state whether the LLC may carry on business as a </w:t>
      </w:r>
      <w:r>
        <w:rPr>
          <w:rFonts w:ascii="Times New Roman" w:cs="Times New Roman" w:eastAsia="Times New Roman" w:hAnsi="Times New Roman"/>
          <w:b/>
          <w:bCs/>
          <w:i w:val="false"/>
          <w:iCs w:val="false"/>
          <w:color w:val="000000"/>
          <w:sz w:val="24"/>
          <w:szCs w:val="24"/>
        </w:rPr>
        <w:t xml:space="preserve">SINGLE-MEMBER LLC</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53-19-15, NMSA 1978</w:t>
      </w:r>
      <w:r>
        <w:rPr>
          <w:rFonts w:ascii="Times New Roman" w:cs="Times New Roman" w:eastAsia="Times New Roman" w:hAnsi="Times New Roman"/>
          <w:b w:val="false"/>
          <w:bCs w:val="false"/>
          <w:i w:val="false"/>
          <w:iCs w:val="false"/>
          <w:color w:val="000000"/>
          <w:sz w:val="24"/>
          <w:szCs w:val="24"/>
        </w:rPr>
        <w:t xml:space="preserve">, management vests in MANAGERS only if the Articles state that management is vested in managers. If the Articles do not include this statement, the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must be consistent with both Articles statements. When the Articles and OA conflict, a court applies the Articles to third-party questions.</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 53-19-5, NMSA 1978, every New Mexico LLC must continuously maintain a registered office and agent. Failure for 30 days to maintain an agent may result in administrative revocation (§ 53-19-66.1). Reinstatement requires filing within </w:t>
      </w:r>
      <w:r>
        <w:rPr>
          <w:rFonts w:ascii="Times New Roman" w:cs="Times New Roman" w:eastAsia="Times New Roman" w:hAnsi="Times New Roman"/>
          <w:b/>
          <w:bCs/>
          <w:i w:val="false"/>
          <w:iCs w:val="false"/>
          <w:color w:val="000000"/>
          <w:sz w:val="24"/>
          <w:szCs w:val="24"/>
        </w:rPr>
        <w:t xml:space="preserve">two years</w:t>
      </w:r>
      <w:r>
        <w:rPr>
          <w:rFonts w:ascii="Times New Roman" w:cs="Times New Roman" w:eastAsia="Times New Roman" w:hAnsi="Times New Roman"/>
          <w:b w:val="false"/>
          <w:bCs w:val="false"/>
          <w:i w:val="false"/>
          <w:iCs w:val="false"/>
          <w:color w:val="000000"/>
          <w:sz w:val="24"/>
          <w:szCs w:val="24"/>
        </w:rPr>
        <w:t xml:space="preserve"> of revocation (§ 53-19-66.2).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NM ZIP]</w:t>
      </w:r>
    </w:p>
    <w:p>
      <w:pPr>
        <w:spacing w:after="60" w:before="120" w:line="276" w:lineRule="auto"/>
      </w:pPr>
      <w:r>
        <w:rPr>
          <w:rFonts w:ascii="Times New Roman" w:cs="Times New Roman" w:eastAsia="Times New Roman" w:hAnsi="Times New Roman"/>
          <w:b/>
          <w:bCs/>
          <w:color w:val="000000"/>
          <w:sz w:val="24"/>
          <w:szCs w:val="24"/>
        </w:rPr>
        <w:t xml:space="preserve">1.07  Principal Place of Business.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place of business is: </w:t>
      </w:r>
      <w:r>
        <w:rPr>
          <w:rFonts w:ascii="Times New Roman" w:cs="Times New Roman" w:eastAsia="Times New Roman" w:hAnsi="Times New Roman"/>
          <w:b/>
          <w:bCs/>
          <w:color w:val="990000"/>
          <w:sz w:val="24"/>
          <w:szCs w:val="24"/>
        </w:rPr>
        <w:t xml:space="preserve">[Street, City, NM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Report and Filing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w:t>
      </w:r>
      <w:r>
        <w:rPr>
          <w:rFonts w:ascii="Times New Roman" w:cs="Times New Roman" w:eastAsia="Times New Roman" w:hAnsi="Times New Roman"/>
          <w:b/>
          <w:bCs/>
          <w:i w:val="false"/>
          <w:iCs w:val="false"/>
          <w:color w:val="000000"/>
          <w:sz w:val="24"/>
          <w:szCs w:val="24"/>
        </w:rPr>
        <w:t xml:space="preserve">New Mexico LLC annual or biennial report</w:t>
      </w:r>
      <w:r>
        <w:rPr>
          <w:rFonts w:ascii="Times New Roman" w:cs="Times New Roman" w:eastAsia="Times New Roman" w:hAnsi="Times New Roman"/>
          <w:b w:val="false"/>
          <w:bCs w:val="false"/>
          <w:i w:val="false"/>
          <w:iCs w:val="false"/>
          <w:color w:val="000000"/>
          <w:sz w:val="24"/>
          <w:szCs w:val="24"/>
        </w:rPr>
        <w:t xml:space="preserve"> requirement was found in Chapter 53, Article 19, NMSA 1978 or the accessible New Mexico Secretary of State, Business Services Division materials. Verify at enterprise.sos.nm.gov before relying on this statement. The LLC must maintain registered-agent compliance and satisfy all applicable tax obligations.</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publication requirement for </w:t>
      </w:r>
      <w:r>
        <w:rPr>
          <w:rFonts w:ascii="Times New Roman" w:cs="Times New Roman" w:eastAsia="Times New Roman" w:hAnsi="Times New Roman"/>
          <w:b/>
          <w:bCs/>
          <w:i w:val="false"/>
          <w:iCs w:val="false"/>
          <w:color w:val="000000"/>
          <w:sz w:val="24"/>
          <w:szCs w:val="24"/>
        </w:rPr>
        <w:t xml:space="preserve">New Mexico LLC</w:t>
      </w:r>
      <w:r>
        <w:rPr>
          <w:rFonts w:ascii="Times New Roman" w:cs="Times New Roman" w:eastAsia="Times New Roman" w:hAnsi="Times New Roman"/>
          <w:b w:val="false"/>
          <w:bCs w:val="false"/>
          <w:i w:val="false"/>
          <w:iCs w:val="false"/>
          <w:color w:val="000000"/>
          <w:sz w:val="24"/>
          <w:szCs w:val="24"/>
        </w:rPr>
        <w:t xml:space="preserve"> formation was identified in the Act or SOS materials.</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Mexico Limited Liability Company Act, Chapter 53, Article 19, NMSA 1978,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including all written amendments, as required by § 53-19-2(O).</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New Mexico Secretary of State, Business Services Division,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services rendered, or written promise to contribute (§ 53-19-21).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"Value-of-Contributions Default" means the statutory rule under § 53-19-17, 53-19-22, and 53-19-23 that voting power, profits/losses, and distributions are allocated in proportion to the </w:t>
      </w:r>
      <w:r>
        <w:rPr>
          <w:rFonts w:ascii="Times New Roman" w:cs="Times New Roman" w:eastAsia="Times New Roman" w:hAnsi="Times New Roman"/>
          <w:b/>
          <w:bCs/>
          <w:i w:val="false"/>
          <w:iCs w:val="false"/>
          <w:color w:val="000000"/>
          <w:sz w:val="24"/>
          <w:szCs w:val="24"/>
        </w:rPr>
        <w:t xml:space="preserve">VALUE OF CAPITAL CONTRIBUTIONS</w:t>
      </w:r>
      <w:r>
        <w:rPr>
          <w:rFonts w:ascii="Times New Roman" w:cs="Times New Roman" w:eastAsia="Times New Roman" w:hAnsi="Times New Roman"/>
          <w:b w:val="false"/>
          <w:bCs w:val="false"/>
          <w:i w:val="false"/>
          <w:iCs w:val="false"/>
          <w:color w:val="000000"/>
          <w:sz w:val="24"/>
          <w:szCs w:val="24"/>
        </w:rPr>
        <w:t xml:space="preserve">, adjusted for withdrawals — NOT by a simple ownership percentage unless separately specified.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"Distributional Interest" means the right to receive distributions. Under § 53-19-32, assignment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make the assignee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"Dissociation" means an event under § 53-19-38 causing a person to cease being a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CRITICAL NEW MEXICO TRAP: Under § 53-19-22 and § 53-19-23, NMSA 1978, if this Agreement did not exist, profits, losses, and distributions would be allocated in proportion to the </w:t>
      </w:r>
      <w:r>
        <w:rPr>
          <w:rFonts w:ascii="Times New Roman" w:cs="Times New Roman" w:eastAsia="Times New Roman" w:hAnsi="Times New Roman"/>
          <w:b/>
          <w:bCs/>
          <w:i w:val="false"/>
          <w:iCs w:val="false"/>
          <w:color w:val="000000"/>
          <w:sz w:val="24"/>
          <w:szCs w:val="24"/>
        </w:rPr>
        <w:t xml:space="preserve">VALUE OF CAPITAL CONTRIBUTIONS</w:t>
      </w:r>
      <w:r>
        <w:rPr>
          <w:rFonts w:ascii="Times New Roman" w:cs="Times New Roman" w:eastAsia="Times New Roman" w:hAnsi="Times New Roman"/>
          <w:b w:val="false"/>
          <w:bCs w:val="false"/>
          <w:i w:val="false"/>
          <w:iCs w:val="false"/>
          <w:color w:val="000000"/>
          <w:sz w:val="24"/>
          <w:szCs w:val="24"/>
        </w:rPr>
        <w:t xml:space="preserve"> made by each Member, adjusted for withdrawals — NOT automatically equal and NOT necessarily 'ownership percentage.'</w:t>
      </w:r>
    </w:p>
    <w:p>
      <w:pPr>
        <w:spacing w:after="60" w:before="120" w:line="276" w:lineRule="auto"/>
      </w:pPr>
      <w:r>
        <w:rPr>
          <w:rFonts w:ascii="Times New Roman" w:cs="Times New Roman" w:eastAsia="Times New Roman" w:hAnsi="Times New Roman"/>
          <w:b/>
          <w:bCs/>
          <w:color w:val="000000"/>
          <w:sz w:val="24"/>
          <w:szCs w:val="24"/>
        </w:rPr>
        <w:t xml:space="preserve">III.02  Value-of-Contributions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53-19-17</w:t>
      </w:r>
      <w:r>
        <w:rPr>
          <w:rFonts w:ascii="Times New Roman" w:cs="Times New Roman" w:eastAsia="Times New Roman" w:hAnsi="Times New Roman"/>
          <w:b w:val="false"/>
          <w:bCs w:val="false"/>
          <w:i w:val="false"/>
          <w:iCs w:val="false"/>
          <w:color w:val="000000"/>
          <w:sz w:val="24"/>
          <w:szCs w:val="24"/>
        </w:rPr>
        <w:t xml:space="preserve">, voting defaults to value of contributions. Under </w:t>
      </w:r>
      <w:r>
        <w:rPr>
          <w:rFonts w:ascii="Times New Roman" w:cs="Times New Roman" w:eastAsia="Times New Roman" w:hAnsi="Times New Roman"/>
          <w:b/>
          <w:bCs/>
          <w:i w:val="false"/>
          <w:iCs w:val="false"/>
          <w:color w:val="000000"/>
          <w:sz w:val="24"/>
          <w:szCs w:val="24"/>
        </w:rPr>
        <w:t xml:space="preserve">§ 53-19-22</w:t>
      </w:r>
      <w:r>
        <w:rPr>
          <w:rFonts w:ascii="Times New Roman" w:cs="Times New Roman" w:eastAsia="Times New Roman" w:hAnsi="Times New Roman"/>
          <w:b w:val="false"/>
          <w:bCs w:val="false"/>
          <w:i w:val="false"/>
          <w:iCs w:val="false"/>
          <w:color w:val="000000"/>
          <w:sz w:val="24"/>
          <w:szCs w:val="24"/>
        </w:rPr>
        <w:t xml:space="preserve">, profits/losses follow the same metric. Under </w:t>
      </w:r>
      <w:r>
        <w:rPr>
          <w:rFonts w:ascii="Times New Roman" w:cs="Times New Roman" w:eastAsia="Times New Roman" w:hAnsi="Times New Roman"/>
          <w:b/>
          <w:bCs/>
          <w:i w:val="false"/>
          <w:iCs w:val="false"/>
          <w:color w:val="000000"/>
          <w:sz w:val="24"/>
          <w:szCs w:val="24"/>
        </w:rPr>
        <w:t xml:space="preserve">§ 53-19-23</w:t>
      </w:r>
      <w:r>
        <w:rPr>
          <w:rFonts w:ascii="Times New Roman" w:cs="Times New Roman" w:eastAsia="Times New Roman" w:hAnsi="Times New Roman"/>
          <w:b w:val="false"/>
          <w:bCs w:val="false"/>
          <w:i w:val="false"/>
          <w:iCs w:val="false"/>
          <w:color w:val="000000"/>
          <w:sz w:val="24"/>
          <w:szCs w:val="24"/>
        </w:rPr>
        <w:t xml:space="preserve">, distributions default to value of unreturned contributions. The Members override all three defaults: all voting, profit/loss,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Contributions — Forms and Written Promises.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53-19-21, NMSA 1978</w:t>
      </w:r>
      <w:r>
        <w:rPr>
          <w:rFonts w:ascii="Times New Roman" w:cs="Times New Roman" w:eastAsia="Times New Roman" w:hAnsi="Times New Roman"/>
          <w:b w:val="false"/>
          <w:bCs w:val="false"/>
          <w:i w:val="false"/>
          <w:iCs w:val="false"/>
          <w:color w:val="000000"/>
          <w:sz w:val="24"/>
          <w:szCs w:val="24"/>
        </w:rPr>
        <w:t xml:space="preserve">, contributions may consist of cash, property, services rendered, or a written promise to contribute. A written promise is enforceable against the Member and estate. No additional contributions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value-of-contributions default of </w:t>
      </w:r>
      <w:r>
        <w:rPr>
          <w:rFonts w:ascii="Times New Roman" w:cs="Times New Roman" w:eastAsia="Times New Roman" w:hAnsi="Times New Roman"/>
          <w:b/>
          <w:bCs/>
          <w:i w:val="false"/>
          <w:iCs w:val="false"/>
          <w:color w:val="000000"/>
          <w:sz w:val="24"/>
          <w:szCs w:val="24"/>
        </w:rPr>
        <w:t xml:space="preserve">§ 53-19-22, NMSA 1978</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 53-19-23</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voting power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Wrongful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 53-19-26 and 53-19-27, ${NMSA}, a distribution is wrongful if made when the Company cannot pay its debts as they become due in the ordinary course. Members who receive or vote for wrongful distributions may be liable to the Company.</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New Mexico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New Mexico may require: (a) </w:t>
      </w:r>
      <w:r>
        <w:rPr>
          <w:rFonts w:ascii="Times New Roman" w:cs="Times New Roman" w:eastAsia="Times New Roman" w:hAnsi="Times New Roman"/>
          <w:b/>
          <w:bCs/>
          <w:i w:val="false"/>
          <w:iCs w:val="false"/>
          <w:color w:val="000000"/>
          <w:sz w:val="24"/>
          <w:szCs w:val="24"/>
        </w:rPr>
        <w:t xml:space="preserve">NMBTIN</w:t>
      </w:r>
      <w:r>
        <w:rPr>
          <w:rFonts w:ascii="Times New Roman" w:cs="Times New Roman" w:eastAsia="Times New Roman" w:hAnsi="Times New Roman"/>
          <w:b w:val="false"/>
          <w:bCs w:val="false"/>
          <w:i w:val="false"/>
          <w:iCs w:val="false"/>
          <w:color w:val="000000"/>
          <w:sz w:val="24"/>
          <w:szCs w:val="24"/>
        </w:rPr>
        <w:t xml:space="preserve"> registration (formerly CRS number, renamed effective July 1, 2021); (b) </w:t>
      </w:r>
      <w:r>
        <w:rPr>
          <w:rFonts w:ascii="Times New Roman" w:cs="Times New Roman" w:eastAsia="Times New Roman" w:hAnsi="Times New Roman"/>
          <w:b/>
          <w:bCs/>
          <w:i w:val="false"/>
          <w:iCs w:val="false"/>
          <w:color w:val="000000"/>
          <w:sz w:val="24"/>
          <w:szCs w:val="24"/>
        </w:rPr>
        <w:t xml:space="preserve">Gross Receipts Tax (GRT)</w:t>
      </w:r>
      <w:r>
        <w:rPr>
          <w:rFonts w:ascii="Times New Roman" w:cs="Times New Roman" w:eastAsia="Times New Roman" w:hAnsi="Times New Roman"/>
          <w:b w:val="false"/>
          <w:bCs w:val="false"/>
          <w:i w:val="false"/>
          <w:iCs w:val="false"/>
          <w:color w:val="000000"/>
          <w:sz w:val="24"/>
          <w:szCs w:val="24"/>
        </w:rPr>
        <w:t xml:space="preserve"> returns — economic nexus threshold $100,000 in NM gross receipts; (c) pass-through entity returns. </w:t>
      </w:r>
      <w:r>
        <w:rPr>
          <w:rFonts w:ascii="Times New Roman" w:cs="Times New Roman" w:eastAsia="Times New Roman" w:hAnsi="Times New Roman"/>
          <w:b/>
          <w:bCs/>
          <w:i w:val="false"/>
          <w:iCs w:val="false"/>
          <w:color w:val="000000"/>
          <w:sz w:val="24"/>
          <w:szCs w:val="24"/>
        </w:rPr>
        <w:t xml:space="preserve">IMPORTANT: the $50 corporate franchise tax applies ONLY to corporations and LLCs taxed as corporations</w:t>
      </w:r>
      <w:r>
        <w:rPr>
          <w:rFonts w:ascii="Times New Roman" w:cs="Times New Roman" w:eastAsia="Times New Roman" w:hAnsi="Times New Roman"/>
          <w:b w:val="false"/>
          <w:bCs w:val="false"/>
          <w:i w:val="false"/>
          <w:iCs w:val="false"/>
          <w:color w:val="000000"/>
          <w:sz w:val="24"/>
          <w:szCs w:val="24"/>
        </w:rPr>
        <w:t xml:space="preserve">, NOT to all NM LLCs. BOI: FinCEN's March 21, 2025 interim final rule exempts U.S.-created entities from BOI reporting.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CRITICAL: under </w:t>
      </w:r>
      <w:r>
        <w:rPr>
          <w:rFonts w:ascii="Times New Roman" w:cs="Times New Roman" w:eastAsia="Times New Roman" w:hAnsi="Times New Roman"/>
          <w:b/>
          <w:bCs/>
          <w:i w:val="false"/>
          <w:iCs w:val="false"/>
          <w:color w:val="000000"/>
          <w:sz w:val="24"/>
          <w:szCs w:val="24"/>
        </w:rPr>
        <w:t xml:space="preserve">§ 53-19-15, NMSA 1978</w:t>
      </w:r>
      <w:r>
        <w:rPr>
          <w:rFonts w:ascii="Times New Roman" w:cs="Times New Roman" w:eastAsia="Times New Roman" w:hAnsi="Times New Roman"/>
          <w:b w:val="false"/>
          <w:bCs w:val="false"/>
          <w:i w:val="false"/>
          <w:iCs w:val="false"/>
          <w:color w:val="000000"/>
          <w:sz w:val="24"/>
          <w:szCs w:val="24"/>
        </w:rPr>
        <w:t xml:space="preserve">, management vests in managers ONLY if the </w:t>
      </w:r>
      <w:r>
        <w:rPr>
          <w:rFonts w:ascii="Times New Roman" w:cs="Times New Roman" w:eastAsia="Times New Roman" w:hAnsi="Times New Roman"/>
          <w:b/>
          <w:bCs/>
          <w:i w:val="false"/>
          <w:iCs w:val="false"/>
          <w:color w:val="000000"/>
          <w:sz w:val="24"/>
          <w:szCs w:val="24"/>
        </w:rPr>
        <w:t xml:space="preserve">ARTICLES OF ORGANIZATION</w:t>
      </w:r>
      <w:r>
        <w:rPr>
          <w:rFonts w:ascii="Times New Roman" w:cs="Times New Roman" w:eastAsia="Times New Roman" w:hAnsi="Times New Roman"/>
          <w:b w:val="false"/>
          <w:bCs w:val="false"/>
          <w:i w:val="false"/>
          <w:iCs w:val="false"/>
          <w:color w:val="000000"/>
          <w:sz w:val="24"/>
          <w:szCs w:val="24"/>
        </w:rPr>
        <w:t xml:space="preserve"> state that management is vested in managers. The Articles for this Company include that statement. This OA must be consistent with the Articles.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of the Company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NM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Qualifications.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53-19-15, NMSA 1978</w:t>
      </w:r>
      <w:r>
        <w:rPr>
          <w:rFonts w:ascii="Times New Roman" w:cs="Times New Roman" w:eastAsia="Times New Roman" w:hAnsi="Times New Roman"/>
          <w:b w:val="false"/>
          <w:bCs w:val="false"/>
          <w:i w:val="false"/>
          <w:iCs w:val="false"/>
          <w:color w:val="000000"/>
          <w:sz w:val="24"/>
          <w:szCs w:val="24"/>
        </w:rPr>
        <w:t xml:space="preserve">, Managers do not have to be members or natural persons unless the Articles or OA require it.</w:t>
      </w:r>
    </w:p>
    <w:p>
      <w:pPr>
        <w:spacing w:after="60" w:before="120" w:line="276" w:lineRule="auto"/>
      </w:pPr>
      <w:r>
        <w:rPr>
          <w:rFonts w:ascii="Times New Roman" w:cs="Times New Roman" w:eastAsia="Times New Roman" w:hAnsi="Times New Roman"/>
          <w:b/>
          <w:bCs/>
          <w:color w:val="000000"/>
          <w:sz w:val="24"/>
          <w:szCs w:val="24"/>
        </w:rPr>
        <w:t xml:space="preserve">V.04  Manager Authority — Ordinary Course.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Manager may bind the Company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all required tax and government filings.</w:t>
      </w:r>
    </w:p>
    <w:p>
      <w:pPr>
        <w:spacing w:after="60" w:before="120" w:line="276" w:lineRule="auto"/>
      </w:pPr>
      <w:r>
        <w:rPr>
          <w:rFonts w:ascii="Times New Roman" w:cs="Times New Roman" w:eastAsia="Times New Roman" w:hAnsi="Times New Roman"/>
          <w:b/>
          <w:bCs/>
          <w:color w:val="000000"/>
          <w:sz w:val="24"/>
          <w:szCs w:val="24"/>
        </w:rPr>
        <w:t xml:space="preserve">V.05  Manager Voting.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Matters within manager authority are decided by </w:t>
      </w:r>
      <w:r>
        <w:rPr>
          <w:rFonts w:ascii="Times New Roman" w:cs="Times New Roman" w:eastAsia="Times New Roman" w:hAnsi="Times New Roman"/>
          <w:b/>
          <w:bCs/>
          <w:i w:val="false"/>
          <w:iCs w:val="false"/>
          <w:color w:val="000000"/>
          <w:sz w:val="24"/>
          <w:szCs w:val="24"/>
        </w:rPr>
        <w:t xml:space="preserve">MAJORITY VOTE OF MANAGERS</w:t>
      </w:r>
      <w:r>
        <w:rPr>
          <w:rFonts w:ascii="Times New Roman" w:cs="Times New Roman" w:eastAsia="Times New Roman" w:hAnsi="Times New Roman"/>
          <w:b w:val="false"/>
          <w:bCs w:val="false"/>
          <w:i w:val="false"/>
          <w:iCs w:val="false"/>
          <w:color w:val="000000"/>
          <w:sz w:val="24"/>
          <w:szCs w:val="24"/>
        </w:rPr>
        <w:t xml:space="preserve"> (§ 53-19-15) unless otherwise provided. Elected threshold: </w:t>
      </w:r>
      <w:r>
        <w:rPr>
          <w:rFonts w:ascii="Times New Roman" w:cs="Times New Roman" w:eastAsia="Times New Roman" w:hAnsi="Times New Roman"/>
          <w:b/>
          <w:bCs/>
          <w:color w:val="990000"/>
          <w:sz w:val="24"/>
          <w:szCs w:val="24"/>
        </w:rPr>
        <w:t xml:space="preserve">[Majority of managers (default) / unanimous / other]</w:t>
      </w:r>
    </w:p>
    <w:p>
      <w:pPr>
        <w:spacing w:after="60" w:before="120" w:line="276" w:lineRule="auto"/>
      </w:pPr>
      <w:r>
        <w:rPr>
          <w:rFonts w:ascii="Times New Roman" w:cs="Times New Roman" w:eastAsia="Times New Roman" w:hAnsi="Times New Roman"/>
          <w:b/>
          <w:bCs/>
          <w:color w:val="000000"/>
          <w:sz w:val="24"/>
          <w:szCs w:val="24"/>
        </w:rPr>
        <w:t xml:space="preserve">V.06  Actions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Notwithstanding Manager authority, the following require Member approval:</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Agreement or Articles: </w:t>
      </w:r>
      <w:r>
        <w:rPr>
          <w:rFonts w:ascii="Times New Roman" w:cs="Times New Roman" w:eastAsia="Times New Roman" w:hAnsi="Times New Roman"/>
          <w:b/>
          <w:bCs/>
          <w:color w:val="990000"/>
          <w:sz w:val="24"/>
          <w:szCs w:val="24"/>
        </w:rPr>
        <w:t xml:space="preserve">[Majority of voting power (default) / unanimous / two-thirds]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Selling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Merger, consolidation, or dissolution.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Admitting a new Member (§ 53-19-33: unanimous unless OA says otherwise).</w:t>
      </w:r>
    </w:p>
    <w:p>
      <w:pPr>
        <w:spacing w:after="60" w:before="120" w:line="276" w:lineRule="auto"/>
      </w:pPr>
      <w:r>
        <w:rPr>
          <w:rFonts w:ascii="Times New Roman" w:cs="Times New Roman" w:eastAsia="Times New Roman" w:hAnsi="Times New Roman"/>
          <w:b/>
          <w:bCs/>
          <w:color w:val="000000"/>
          <w:sz w:val="24"/>
          <w:szCs w:val="24"/>
        </w:rPr>
        <w:t xml:space="preserve">V.07  Manager Fiduciary Duties and Liability Standard.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53-19-16, NMSA 1978</w:t>
      </w:r>
      <w:r>
        <w:rPr>
          <w:rFonts w:ascii="Times New Roman" w:cs="Times New Roman" w:eastAsia="Times New Roman" w:hAnsi="Times New Roman"/>
          <w:b w:val="false"/>
          <w:bCs w:val="false"/>
          <w:i w:val="false"/>
          <w:iCs w:val="false"/>
          <w:color w:val="000000"/>
          <w:sz w:val="24"/>
          <w:szCs w:val="24"/>
        </w:rPr>
        <w:t xml:space="preserve">, Managers are liable ONLY for acts or omissions constituting </w:t>
      </w:r>
      <w:r>
        <w:rPr>
          <w:rFonts w:ascii="Times New Roman" w:cs="Times New Roman" w:eastAsia="Times New Roman" w:hAnsi="Times New Roman"/>
          <w:b/>
          <w:bCs/>
          <w:i w:val="false"/>
          <w:iCs w:val="false"/>
          <w:color w:val="000000"/>
          <w:sz w:val="24"/>
          <w:szCs w:val="24"/>
        </w:rPr>
        <w:t xml:space="preserve">GROSS NEGLIGENCE OR WILLFUL MISCONDUCT</w:t>
      </w:r>
      <w:r>
        <w:rPr>
          <w:rFonts w:ascii="Times New Roman" w:cs="Times New Roman" w:eastAsia="Times New Roman" w:hAnsi="Times New Roman"/>
          <w:b w:val="false"/>
          <w:bCs w:val="false"/>
          <w:i w:val="false"/>
          <w:iCs w:val="false"/>
          <w:color w:val="000000"/>
          <w:sz w:val="24"/>
          <w:szCs w:val="24"/>
        </w:rPr>
        <w:t xml:space="preserve">. Managers also owe a fiduciary/trustee duty to account to the LLC for profits from company-connected transactions, company property, or confidential information.</w:t>
      </w:r>
    </w:p>
    <w:p>
      <w:pPr>
        <w:spacing w:after="60" w:before="120" w:line="276" w:lineRule="auto"/>
      </w:pPr>
      <w:r>
        <w:rPr>
          <w:rFonts w:ascii="Times New Roman" w:cs="Times New Roman" w:eastAsia="Times New Roman" w:hAnsi="Times New Roman"/>
          <w:b/>
          <w:bCs/>
          <w:color w:val="000000"/>
          <w:sz w:val="24"/>
          <w:szCs w:val="24"/>
        </w:rPr>
        <w:t xml:space="preserve">V.08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Unless otherwise provided, Managers are designated, appointed, elected, removed, or replaced by Members holding a </w:t>
      </w:r>
      <w:r>
        <w:rPr>
          <w:rFonts w:ascii="Times New Roman" w:cs="Times New Roman" w:eastAsia="Times New Roman" w:hAnsi="Times New Roman"/>
          <w:b/>
          <w:bCs/>
          <w:i w:val="false"/>
          <w:iCs w:val="false"/>
          <w:color w:val="000000"/>
          <w:sz w:val="24"/>
          <w:szCs w:val="24"/>
        </w:rPr>
        <w:t xml:space="preserve">MAJORITY OF THE VOTING POWER</w:t>
      </w:r>
      <w:r>
        <w:rPr>
          <w:rFonts w:ascii="Times New Roman" w:cs="Times New Roman" w:eastAsia="Times New Roman" w:hAnsi="Times New Roman"/>
          <w:b w:val="false"/>
          <w:bCs w:val="false"/>
          <w:i w:val="false"/>
          <w:iCs w:val="false"/>
          <w:color w:val="000000"/>
          <w:sz w:val="24"/>
          <w:szCs w:val="24"/>
        </w:rPr>
        <w:t xml:space="preserve"> (§ 53-19-15). Elected threshold: </w:t>
      </w:r>
      <w:r>
        <w:rPr>
          <w:rFonts w:ascii="Times New Roman" w:cs="Times New Roman" w:eastAsia="Times New Roman" w:hAnsi="Times New Roman"/>
          <w:b/>
          <w:bCs/>
          <w:color w:val="990000"/>
          <w:sz w:val="24"/>
          <w:szCs w:val="24"/>
        </w:rPr>
        <w:t xml:space="preserve">[Majority of voting power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V.09  Member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perpetual LLC, a Member may withdraw on at least </w:t>
      </w:r>
      <w:r>
        <w:rPr>
          <w:rFonts w:ascii="Times New Roman" w:cs="Times New Roman" w:eastAsia="Times New Roman" w:hAnsi="Times New Roman"/>
          <w:b/>
          <w:bCs/>
          <w:i w:val="false"/>
          <w:iCs w:val="false"/>
          <w:color w:val="000000"/>
          <w:sz w:val="24"/>
          <w:szCs w:val="24"/>
        </w:rPr>
        <w:t xml:space="preserve">30 DAYS' PRIOR WRITTEN NOTICE</w:t>
      </w:r>
      <w:r>
        <w:rPr>
          <w:rFonts w:ascii="Times New Roman" w:cs="Times New Roman" w:eastAsia="Times New Roman" w:hAnsi="Times New Roman"/>
          <w:b w:val="false"/>
          <w:bCs w:val="false"/>
          <w:i w:val="false"/>
          <w:iCs w:val="false"/>
          <w:color w:val="000000"/>
          <w:sz w:val="24"/>
          <w:szCs w:val="24"/>
        </w:rPr>
        <w:t xml:space="preserve"> (§ 53-19-37). Elected conditions: </w:t>
      </w:r>
      <w:r>
        <w:rPr>
          <w:rFonts w:ascii="Times New Roman" w:cs="Times New Roman" w:eastAsia="Times New Roman" w:hAnsi="Times New Roman"/>
          <w:b/>
          <w:bCs/>
          <w:color w:val="990000"/>
          <w:sz w:val="24"/>
          <w:szCs w:val="24"/>
        </w:rPr>
        <w:t xml:space="preserve">[30-day notice (default) / modified / restricted]</w:t>
      </w:r>
    </w:p>
    <w:p>
      <w:pPr>
        <w:spacing w:after="60" w:before="120" w:line="276" w:lineRule="auto"/>
      </w:pPr>
      <w:r>
        <w:rPr>
          <w:rFonts w:ascii="Times New Roman" w:cs="Times New Roman" w:eastAsia="Times New Roman" w:hAnsi="Times New Roman"/>
          <w:b/>
          <w:bCs/>
          <w:color w:val="000000"/>
          <w:sz w:val="24"/>
          <w:szCs w:val="24"/>
        </w:rPr>
        <w:t xml:space="preserve">V.10  Records Maintenance.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53-19-19, NMSA 1978</w:t>
      </w:r>
      <w:r>
        <w:rPr>
          <w:rFonts w:ascii="Times New Roman" w:cs="Times New Roman" w:eastAsia="Times New Roman" w:hAnsi="Times New Roman"/>
          <w:b w:val="false"/>
          <w:bCs w:val="false"/>
          <w:i w:val="false"/>
          <w:iCs w:val="false"/>
          <w:color w:val="000000"/>
          <w:sz w:val="24"/>
          <w:szCs w:val="24"/>
        </w:rPr>
        <w:t xml:space="preserve">, the LLC must keep at its principal place of business: (a) member/manager lists; (b) Articles and amendments; (c) tax returns and financials for 3 years; (d) </w:t>
      </w:r>
      <w:r>
        <w:rPr>
          <w:rFonts w:ascii="Times New Roman" w:cs="Times New Roman" w:eastAsia="Times New Roman" w:hAnsi="Times New Roman"/>
          <w:b/>
          <w:bCs/>
          <w:i w:val="false"/>
          <w:iCs w:val="false"/>
          <w:color w:val="000000"/>
          <w:sz w:val="24"/>
          <w:szCs w:val="24"/>
        </w:rPr>
        <w:t xml:space="preserve">current AND PRIOR operating agreements</w:t>
      </w:r>
      <w:r>
        <w:rPr>
          <w:rFonts w:ascii="Times New Roman" w:cs="Times New Roman" w:eastAsia="Times New Roman" w:hAnsi="Times New Roman"/>
          <w:b w:val="false"/>
          <w:bCs w:val="false"/>
          <w:i w:val="false"/>
          <w:iCs w:val="false"/>
          <w:color w:val="000000"/>
          <w:sz w:val="24"/>
          <w:szCs w:val="24"/>
        </w:rPr>
        <w:t xml:space="preserve"> and amendments; (e) written capital contribution records.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53-19-32, NMSA 1978</w:t>
      </w:r>
      <w:r>
        <w:rPr>
          <w:rFonts w:ascii="Times New Roman" w:cs="Times New Roman" w:eastAsia="Times New Roman" w:hAnsi="Times New Roman"/>
          <w:b w:val="false"/>
          <w:bCs w:val="false"/>
          <w:i w:val="false"/>
          <w:iCs w:val="false"/>
          <w:color w:val="000000"/>
          <w:sz w:val="24"/>
          <w:szCs w:val="24"/>
        </w:rPr>
        <w:t xml:space="preserve">, a membership interest is assignable, but assignment does NOT dissolve the LLC and does NOT make the assignee a Member. The assignee receives only distributions and return of capital until admitted.</w:t>
      </w:r>
    </w:p>
    <w:p>
      <w:pPr>
        <w:spacing w:after="60" w:before="120" w:line="276" w:lineRule="auto"/>
      </w:pPr>
      <w:r>
        <w:rPr>
          <w:rFonts w:ascii="Times New Roman" w:cs="Times New Roman" w:eastAsia="Times New Roman" w:hAnsi="Times New Roman"/>
          <w:b/>
          <w:bCs/>
          <w:color w:val="000000"/>
          <w:sz w:val="24"/>
          <w:szCs w:val="24"/>
        </w:rPr>
        <w:t xml:space="preserve">VI.02  Assignee Admission — Unanimous Consent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53-19-33, NMSA 1978</w:t>
      </w:r>
      <w:r>
        <w:rPr>
          <w:rFonts w:ascii="Times New Roman" w:cs="Times New Roman" w:eastAsia="Times New Roman" w:hAnsi="Times New Roman"/>
          <w:b w:val="false"/>
          <w:bCs w:val="false"/>
          <w:i w:val="false"/>
          <w:iCs w:val="false"/>
          <w:color w:val="000000"/>
          <w:sz w:val="24"/>
          <w:szCs w:val="24"/>
        </w:rPr>
        <w:t xml:space="preserve">, an assignee may be admitted as a Member only upon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of all Members, unless the Articles or this Agreement provide otherwise. Elected procedure: </w:t>
      </w:r>
      <w:r>
        <w:rPr>
          <w:rFonts w:ascii="Times New Roman" w:cs="Times New Roman" w:eastAsia="Times New Roman" w:hAnsi="Times New Roman"/>
          <w:b/>
          <w:bCs/>
          <w:color w:val="990000"/>
          <w:sz w:val="24"/>
          <w:szCs w:val="24"/>
        </w:rPr>
        <w:t xml:space="preserve">[Unanimous consent (default) / majority / written procedure]</w:t>
      </w:r>
    </w:p>
    <w:p>
      <w:pPr>
        <w:spacing w:after="60" w:before="120" w:line="276" w:lineRule="auto"/>
      </w:pPr>
      <w:r>
        <w:rPr>
          <w:rFonts w:ascii="Times New Roman" w:cs="Times New Roman" w:eastAsia="Times New Roman" w:hAnsi="Times New Roman"/>
          <w:b/>
          <w:bCs/>
          <w:color w:val="000000"/>
          <w:sz w:val="24"/>
          <w:szCs w:val="24"/>
        </w:rPr>
        <w:t xml:space="preserve">VI.03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53-19-35, NMSA 1978</w:t>
      </w:r>
      <w:r>
        <w:rPr>
          <w:rFonts w:ascii="Times New Roman" w:cs="Times New Roman" w:eastAsia="Times New Roman" w:hAnsi="Times New Roman"/>
          <w:b w:val="false"/>
          <w:bCs w:val="false"/>
          <w:i w:val="false"/>
          <w:iCs w:val="false"/>
          <w:color w:val="000000"/>
          <w:sz w:val="24"/>
          <w:szCs w:val="24"/>
        </w:rPr>
        <w:t xml:space="preserve">, a charging order against a Member's distributional interest is available to judgment creditors. The charging-order holder has distributions rights only —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VI.04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other]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VI.06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53-19-38, NMSA 1978</w:t>
      </w:r>
      <w:r>
        <w:rPr>
          <w:rFonts w:ascii="Times New Roman" w:cs="Times New Roman" w:eastAsia="Times New Roman" w:hAnsi="Times New Roman"/>
          <w:b w:val="false"/>
          <w:bCs w:val="false"/>
          <w:i w:val="false"/>
          <w:iCs w:val="false"/>
          <w:color w:val="000000"/>
          <w:sz w:val="24"/>
          <w:szCs w:val="24"/>
        </w:rPr>
        <w:t xml:space="preserve">: a person ceases to be a Member upon voluntary withdrawal, expulsion, bankruptcy, assignment of entire interest, judicial expulsion, dissolution of a member entity, receiver appointment, death, or incapacity. Removing a Member requires </w:t>
      </w:r>
      <w:r>
        <w:rPr>
          <w:rFonts w:ascii="Times New Roman" w:cs="Times New Roman" w:eastAsia="Times New Roman" w:hAnsi="Times New Roman"/>
          <w:b/>
          <w:bCs/>
          <w:i w:val="false"/>
          <w:iCs w:val="false"/>
          <w:color w:val="000000"/>
          <w:sz w:val="24"/>
          <w:szCs w:val="24"/>
        </w:rPr>
        <w:t xml:space="preserve">unanimous vote of all other Members</w:t>
      </w:r>
      <w:r>
        <w:rPr>
          <w:rFonts w:ascii="Times New Roman" w:cs="Times New Roman" w:eastAsia="Times New Roman" w:hAnsi="Times New Roman"/>
          <w:b w:val="false"/>
          <w:bCs w:val="false"/>
          <w:i w:val="false"/>
          <w:iCs w:val="false"/>
          <w:color w:val="000000"/>
          <w:sz w:val="24"/>
          <w:szCs w:val="24"/>
        </w:rPr>
        <w:t xml:space="preserve"> unless the OA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do not have authority to manage the Company solely by virtue of membership (§ 53-19-15, NMSA 1978). Management authority is vested exclusively in the Manager(s) per Article V.</w:t>
      </w:r>
    </w:p>
    <w:p>
      <w:pPr>
        <w:spacing w:after="60" w:before="120" w:line="276" w:lineRule="auto"/>
      </w:pPr>
      <w:r>
        <w:rPr>
          <w:rFonts w:ascii="Times New Roman" w:cs="Times New Roman" w:eastAsia="Times New Roman" w:hAnsi="Times New Roman"/>
          <w:b/>
          <w:bCs/>
          <w:color w:val="000000"/>
          <w:sz w:val="24"/>
          <w:szCs w:val="24"/>
        </w:rPr>
        <w:t xml:space="preserve">7.02  Member Reserved Voting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voting rights on the major actions in Section 5.06. Members who are not Managers are liable only for their own acts or omissions (§ 53-19-13).</w:t>
      </w:r>
    </w:p>
    <w:p>
      <w:pPr>
        <w:spacing w:after="60" w:before="120" w:line="276" w:lineRule="auto"/>
      </w:pPr>
      <w:r>
        <w:rPr>
          <w:rFonts w:ascii="Times New Roman" w:cs="Times New Roman" w:eastAsia="Times New Roman" w:hAnsi="Times New Roman"/>
          <w:b/>
          <w:bCs/>
          <w:color w:val="000000"/>
          <w:sz w:val="24"/>
          <w:szCs w:val="24"/>
        </w:rPr>
        <w:t xml:space="preserve">7.03  Value-of-Contributions Voting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Default voting power is proportional to the VALUE OF CAPITAL CONTRIBUTIONS (§ 53-19-17). The voting basis elected in Section 5.05 overrides this default.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Assignee admission requires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by default (§ 53-19-33, NMSA 1978). Elected threshold: </w:t>
      </w:r>
      <w:r>
        <w:rPr>
          <w:rFonts w:ascii="Times New Roman" w:cs="Times New Roman" w:eastAsia="Times New Roman" w:hAnsi="Times New Roman"/>
          <w:b/>
          <w:bCs/>
          <w:color w:val="990000"/>
          <w:sz w:val="24"/>
          <w:szCs w:val="24"/>
        </w:rPr>
        <w:t xml:space="preserve">[Unanimous consent (default) / majority / written procedure]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53-19-13, NMSA 1978</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Company debts solely by reason of their status. They remain liable for their own acts or omissions.</w:t>
      </w:r>
    </w:p>
    <w:p>
      <w:pPr>
        <w:spacing w:after="60" w:before="120" w:line="276" w:lineRule="auto"/>
      </w:pPr>
      <w:r>
        <w:rPr>
          <w:rFonts w:ascii="Times New Roman" w:cs="Times New Roman" w:eastAsia="Times New Roman" w:hAnsi="Times New Roman"/>
          <w:b/>
          <w:bCs/>
          <w:color w:val="000000"/>
          <w:sz w:val="24"/>
          <w:szCs w:val="24"/>
        </w:rPr>
        <w:t xml:space="preserve">IX.02  Indemnification (§ 53-19-18).</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Articles or OA may provide indemnification and advancement of expenses for Members and Managers against judgments, settlements, penalties, fines, and reasonable expenses.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Exclusions: no indemnification for gross negligence or willful misconduct.</w:t>
      </w:r>
    </w:p>
    <w:p>
      <w:pPr>
        <w:spacing w:after="60" w:before="120" w:line="276" w:lineRule="auto"/>
      </w:pPr>
      <w:r>
        <w:rPr>
          <w:rFonts w:ascii="Times New Roman" w:cs="Times New Roman" w:eastAsia="Times New Roman" w:hAnsi="Times New Roman"/>
          <w:b/>
          <w:bCs/>
          <w:color w:val="000000"/>
          <w:sz w:val="24"/>
          <w:szCs w:val="24"/>
        </w:rPr>
        <w:t xml:space="preserve">IX.03  Gross Negligence / Willful Misconduct Standard.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53-19-16, NMSA 1978</w:t>
      </w:r>
      <w:r>
        <w:rPr>
          <w:rFonts w:ascii="Times New Roman" w:cs="Times New Roman" w:eastAsia="Times New Roman" w:hAnsi="Times New Roman"/>
          <w:b w:val="false"/>
          <w:bCs w:val="false"/>
          <w:i w:val="false"/>
          <w:iCs w:val="false"/>
          <w:color w:val="000000"/>
          <w:sz w:val="24"/>
          <w:szCs w:val="24"/>
        </w:rPr>
        <w:t xml:space="preserve">, members and managers with management responsibility are liable to the LLC or Members ONLY for acts or omissions constituting </w:t>
      </w:r>
      <w:r>
        <w:rPr>
          <w:rFonts w:ascii="Times New Roman" w:cs="Times New Roman" w:eastAsia="Times New Roman" w:hAnsi="Times New Roman"/>
          <w:b/>
          <w:bCs/>
          <w:i w:val="false"/>
          <w:iCs w:val="false"/>
          <w:color w:val="000000"/>
          <w:sz w:val="24"/>
          <w:szCs w:val="24"/>
        </w:rPr>
        <w:t xml:space="preserve">GROSS NEGLIGENCE OR WILLFUL MISCONDUCT</w:t>
      </w:r>
      <w:r>
        <w:rPr>
          <w:rFonts w:ascii="Times New Roman" w:cs="Times New Roman" w:eastAsia="Times New Roman" w:hAnsi="Times New Roman"/>
          <w:b w:val="false"/>
          <w:bCs w:val="false"/>
          <w:i w:val="false"/>
          <w:iCs w:val="false"/>
          <w:color w:val="000000"/>
          <w:sz w:val="24"/>
          <w:szCs w:val="24"/>
        </w:rPr>
        <w:t xml:space="preserve">, unless the Articles/OA provide otherwise.</w:t>
      </w:r>
    </w:p>
    <w:p>
      <w:pPr>
        <w:spacing w:after="60" w:before="120" w:line="276" w:lineRule="auto"/>
      </w:pPr>
      <w:r>
        <w:rPr>
          <w:rFonts w:ascii="Times New Roman" w:cs="Times New Roman" w:eastAsia="Times New Roman" w:hAnsi="Times New Roman"/>
          <w:b/>
          <w:bCs/>
          <w:color w:val="000000"/>
          <w:sz w:val="24"/>
          <w:szCs w:val="24"/>
        </w:rPr>
        <w:t xml:space="preserve">IX.04  Veil-Piercing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Scott v. AZL Resources, Inc. (N.M. S. Ct. 1988)</w:t>
      </w:r>
      <w:r>
        <w:rPr>
          <w:rFonts w:ascii="Times New Roman" w:cs="Times New Roman" w:eastAsia="Times New Roman" w:hAnsi="Times New Roman"/>
          <w:b w:val="false"/>
          <w:bCs w:val="false"/>
          <w:i w:val="false"/>
          <w:iCs w:val="false"/>
          <w:color w:val="000000"/>
          <w:sz w:val="24"/>
          <w:szCs w:val="24"/>
        </w:rPr>
        <w:t xml:space="preserve">, New Mexico courts apply veil-piercing principles when members fail to maintain entity separateness. This signed written OA, maintained with Company records, is primary evidence of separateness.</w:t>
      </w:r>
    </w:p>
    <w:p>
      <w:pPr>
        <w:spacing w:after="60" w:before="120" w:line="276" w:lineRule="auto"/>
      </w:pPr>
      <w:r>
        <w:rPr>
          <w:rFonts w:ascii="Times New Roman" w:cs="Times New Roman" w:eastAsia="Times New Roman" w:hAnsi="Times New Roman"/>
          <w:b/>
          <w:bCs/>
          <w:color w:val="000000"/>
          <w:sz w:val="24"/>
          <w:szCs w:val="24"/>
        </w:rPr>
        <w:t xml:space="preserve">IX.05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officer,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 53-19-39, ${NMSA}):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Events stated in the Articles or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Written consent of Members holding a </w:t>
      </w:r>
      <w:r>
        <w:rPr>
          <w:rFonts w:ascii="Times New Roman" w:cs="Times New Roman" w:eastAsia="Times New Roman" w:hAnsi="Times New Roman"/>
          <w:b/>
          <w:bCs/>
          <w:i w:val="false"/>
          <w:iCs w:val="false"/>
          <w:color w:val="000000"/>
          <w:sz w:val="24"/>
          <w:szCs w:val="24"/>
        </w:rPr>
        <w:t xml:space="preserve">majority of voting power</w:t>
      </w:r>
      <w:r>
        <w:rPr>
          <w:rFonts w:ascii="Times New Roman" w:cs="Times New Roman" w:eastAsia="Times New Roman" w:hAnsi="Times New Roman"/>
          <w:b w:val="false"/>
          <w:bCs w:val="false"/>
          <w:i w:val="false"/>
          <w:iCs w:val="false"/>
          <w:color w:val="000000"/>
          <w:sz w:val="24"/>
          <w:szCs w:val="24"/>
        </w:rPr>
        <w:t xml:space="preserve"> (unless this Agreement sets a different threshold).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decree under </w:t>
      </w:r>
      <w:r>
        <w:rPr>
          <w:rFonts w:ascii="Times New Roman" w:cs="Times New Roman" w:eastAsia="Times New Roman" w:hAnsi="Times New Roman"/>
          <w:b/>
          <w:bCs/>
          <w:i w:val="false"/>
          <w:iCs w:val="false"/>
          <w:color w:val="000000"/>
          <w:sz w:val="24"/>
          <w:szCs w:val="24"/>
        </w:rPr>
        <w:t xml:space="preserve">§ 53-19-40, NMSA 1978</w:t>
      </w:r>
      <w:r>
        <w:rPr>
          <w:rFonts w:ascii="Times New Roman" w:cs="Times New Roman" w:eastAsia="Times New Roman" w:hAnsi="Times New Roman"/>
          <w:b w:val="false"/>
          <w:bCs w:val="false"/>
          <w:i w:val="false"/>
          <w:iCs w:val="false"/>
          <w:color w:val="000000"/>
          <w:sz w:val="24"/>
          <w:szCs w:val="24"/>
        </w:rPr>
        <w:t xml:space="preserve"> (not reasonably practicable to carry on business in conformity with Articles or OA).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[Majority of voting power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X.02  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53-19-40, NMSA 1978</w:t>
      </w:r>
      <w:r>
        <w:rPr>
          <w:rFonts w:ascii="Times New Roman" w:cs="Times New Roman" w:eastAsia="Times New Roman" w:hAnsi="Times New Roman"/>
          <w:b w:val="false"/>
          <w:bCs w:val="false"/>
          <w:i w:val="false"/>
          <w:iCs w:val="false"/>
          <w:color w:val="000000"/>
          <w:sz w:val="24"/>
          <w:szCs w:val="24"/>
        </w:rPr>
        <w:t xml:space="preserve">, a court may order dissolution when it is not reasonably practicable to carry on business in conformity with the Articles or OA. Per </w:t>
      </w:r>
      <w:r>
        <w:rPr>
          <w:rFonts w:ascii="Times New Roman" w:cs="Times New Roman" w:eastAsia="Times New Roman" w:hAnsi="Times New Roman"/>
          <w:b w:val="false"/>
          <w:bCs w:val="false"/>
          <w:i/>
          <w:iCs/>
          <w:color w:val="000000"/>
          <w:sz w:val="24"/>
          <w:szCs w:val="24"/>
        </w:rPr>
        <w:t xml:space="preserve">Scott v. AZL Resources, Inc. (N.M. S. Ct. 1988)</w:t>
      </w:r>
      <w:r>
        <w:rPr>
          <w:rFonts w:ascii="Times New Roman" w:cs="Times New Roman" w:eastAsia="Times New Roman" w:hAnsi="Times New Roman"/>
          <w:b w:val="false"/>
          <w:bCs w:val="false"/>
          <w:i w:val="false"/>
          <w:iCs w:val="false"/>
          <w:color w:val="000000"/>
          <w:sz w:val="24"/>
          <w:szCs w:val="24"/>
        </w:rPr>
        <w:t xml:space="preserve">, veil-piercing principles apply. Explicit dissolution triggers and deadlock provisions reduce risk.</w:t>
      </w:r>
    </w:p>
    <w:p>
      <w:pPr>
        <w:spacing w:after="60" w:before="120" w:line="276" w:lineRule="auto"/>
      </w:pPr>
      <w:r>
        <w:rPr>
          <w:rFonts w:ascii="Times New Roman" w:cs="Times New Roman" w:eastAsia="Times New Roman" w:hAnsi="Times New Roman"/>
          <w:b/>
          <w:bCs/>
          <w:color w:val="000000"/>
          <w:sz w:val="24"/>
          <w:szCs w:val="24"/>
        </w:rPr>
        <w:t xml:space="preserve">X.03  Winding Up and Asset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 53-19-44, NMSA 1978</w:t>
      </w:r>
      <w:r>
        <w:rPr>
          <w:rFonts w:ascii="Times New Roman" w:cs="Times New Roman" w:eastAsia="Times New Roman" w:hAnsi="Times New Roman"/>
          <w:b w:val="false"/>
          <w:bCs w:val="false"/>
          <w:i w:val="false"/>
          <w:iCs w:val="false"/>
          <w:color w:val="000000"/>
          <w:sz w:val="24"/>
          <w:szCs w:val="24"/>
        </w:rPr>
        <w:t xml:space="preserve">): (a) pay creditors; (b) satisfy liabilities to current or former Members; (c) distribute remaining assets to Members by Ownership Interest percentages. File Articles of Dissolution with the SOS (§ 53-19-41; </w:t>
      </w:r>
      <w:r>
        <w:rPr>
          <w:rFonts w:ascii="Times New Roman" w:cs="Times New Roman" w:eastAsia="Times New Roman" w:hAnsi="Times New Roman"/>
          <w:b/>
          <w:bCs/>
          <w:i w:val="false"/>
          <w:iCs w:val="false"/>
          <w:color w:val="000000"/>
          <w:sz w:val="24"/>
          <w:szCs w:val="24"/>
        </w:rPr>
        <w:t xml:space="preserve">fee $25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X.04  Claims Against Dissolved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53-19-45, NMSA 1978</w:t>
      </w:r>
      <w:r>
        <w:rPr>
          <w:rFonts w:ascii="Times New Roman" w:cs="Times New Roman" w:eastAsia="Times New Roman" w:hAnsi="Times New Roman"/>
          <w:b w:val="false"/>
          <w:bCs w:val="false"/>
          <w:i w:val="false"/>
          <w:iCs w:val="false"/>
          <w:color w:val="000000"/>
          <w:sz w:val="24"/>
          <w:szCs w:val="24"/>
        </w:rPr>
        <w:t xml:space="preserve">, a dissolved LLC may give written notice to known claimants. Claim deadline: not fewer than </w:t>
      </w:r>
      <w:r>
        <w:rPr>
          <w:rFonts w:ascii="Times New Roman" w:cs="Times New Roman" w:eastAsia="Times New Roman" w:hAnsi="Times New Roman"/>
          <w:b/>
          <w:bCs/>
          <w:i w:val="false"/>
          <w:iCs w:val="false"/>
          <w:color w:val="000000"/>
          <w:sz w:val="24"/>
          <w:szCs w:val="24"/>
        </w:rPr>
        <w:t xml:space="preserve">120 DAYS</w:t>
      </w:r>
      <w:r>
        <w:rPr>
          <w:rFonts w:ascii="Times New Roman" w:cs="Times New Roman" w:eastAsia="Times New Roman" w:hAnsi="Times New Roman"/>
          <w:b w:val="false"/>
          <w:bCs w:val="false"/>
          <w:i w:val="false"/>
          <w:iCs w:val="false"/>
          <w:color w:val="000000"/>
          <w:sz w:val="24"/>
          <w:szCs w:val="24"/>
        </w:rPr>
        <w:t xml:space="preserve"> after effective date of Articles of Dissolution. If a claim is rejected, the claimant must sue within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after rejection notice.</w:t>
      </w:r>
    </w:p>
    <w:p>
      <w:pPr>
        <w:spacing w:after="60" w:before="120" w:line="276" w:lineRule="auto"/>
      </w:pPr>
      <w:r>
        <w:rPr>
          <w:rFonts w:ascii="Times New Roman" w:cs="Times New Roman" w:eastAsia="Times New Roman" w:hAnsi="Times New Roman"/>
          <w:b/>
          <w:bCs/>
          <w:color w:val="000000"/>
          <w:sz w:val="24"/>
          <w:szCs w:val="24"/>
        </w:rPr>
        <w:t xml:space="preserve">X.05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NM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Written Amendment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the operating agreement and all amendments must be in </w:t>
      </w:r>
      <w:r>
        <w:rPr>
          <w:rFonts w:ascii="Times New Roman" w:cs="Times New Roman" w:eastAsia="Times New Roman" w:hAnsi="Times New Roman"/>
          <w:b/>
          <w:bCs/>
          <w:i w:val="false"/>
          <w:iCs w:val="false"/>
          <w:color w:val="000000"/>
          <w:sz w:val="24"/>
          <w:szCs w:val="24"/>
        </w:rPr>
        <w:t xml:space="preserve">WRITING</w:t>
      </w:r>
      <w:r>
        <w:rPr>
          <w:rFonts w:ascii="Times New Roman" w:cs="Times New Roman" w:eastAsia="Times New Roman" w:hAnsi="Times New Roman"/>
          <w:b w:val="false"/>
          <w:bCs w:val="false"/>
          <w:i w:val="false"/>
          <w:iCs w:val="false"/>
          <w:color w:val="000000"/>
          <w:sz w:val="24"/>
          <w:szCs w:val="24"/>
        </w:rPr>
        <w:t xml:space="preserve">. Any oral agreement to amend is NOT enforceable as a statutory operating agreement amendment.</w:t>
      </w:r>
    </w:p>
    <w:p>
      <w:pPr>
        <w:spacing w:after="60" w:before="120" w:line="276" w:lineRule="auto"/>
      </w:pPr>
      <w:r>
        <w:rPr>
          <w:rFonts w:ascii="Times New Roman" w:cs="Times New Roman" w:eastAsia="Times New Roman" w:hAnsi="Times New Roman"/>
          <w:b/>
          <w:bCs/>
          <w:color w:val="000000"/>
          <w:sz w:val="24"/>
          <w:szCs w:val="24"/>
        </w:rPr>
        <w:t xml:space="preserve">XI.02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require: </w:t>
      </w:r>
      <w:r>
        <w:rPr>
          <w:rFonts w:ascii="Times New Roman" w:cs="Times New Roman" w:eastAsia="Times New Roman" w:hAnsi="Times New Roman"/>
          <w:b/>
          <w:bCs/>
          <w:color w:val="990000"/>
          <w:sz w:val="24"/>
          <w:szCs w:val="24"/>
        </w:rPr>
        <w:t xml:space="preserve">[Majority of voting power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XI.03  Consistency with Articles.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structure or single-member designation must also be reflected in an amendment to the Articles of Organization filed with the SOS.</w:t>
      </w:r>
    </w:p>
    <w:p>
      <w:pPr>
        <w:spacing w:after="60" w:before="120" w:line="276" w:lineRule="auto"/>
      </w:pPr>
      <w:r>
        <w:rPr>
          <w:rFonts w:ascii="Times New Roman" w:cs="Times New Roman" w:eastAsia="Times New Roman" w:hAnsi="Times New Roman"/>
          <w:b/>
          <w:bCs/>
          <w:color w:val="000000"/>
          <w:sz w:val="24"/>
          <w:szCs w:val="24"/>
        </w:rPr>
        <w:t xml:space="preserve">XI.04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53-19-19, NMSA 1978</w:t>
      </w:r>
      <w:r>
        <w:rPr>
          <w:rFonts w:ascii="Times New Roman" w:cs="Times New Roman" w:eastAsia="Times New Roman" w:hAnsi="Times New Roman"/>
          <w:b w:val="false"/>
          <w:bCs w:val="false"/>
          <w:i w:val="false"/>
          <w:iCs w:val="false"/>
          <w:color w:val="000000"/>
          <w:sz w:val="24"/>
          <w:szCs w:val="24"/>
        </w:rPr>
        <w:t xml:space="preserve">, the LLC must keep copies of </w:t>
      </w:r>
      <w:r>
        <w:rPr>
          <w:rFonts w:ascii="Times New Roman" w:cs="Times New Roman" w:eastAsia="Times New Roman" w:hAnsi="Times New Roman"/>
          <w:b/>
          <w:bCs/>
          <w:i w:val="false"/>
          <w:iCs w:val="false"/>
          <w:color w:val="000000"/>
          <w:sz w:val="24"/>
          <w:szCs w:val="24"/>
        </w:rPr>
        <w:t xml:space="preserve">CURRENT AND PRIOR operating agreements</w:t>
      </w:r>
      <w:r>
        <w:rPr>
          <w:rFonts w:ascii="Times New Roman" w:cs="Times New Roman" w:eastAsia="Times New Roman" w:hAnsi="Times New Roman"/>
          <w:b w:val="false"/>
          <w:bCs w:val="false"/>
          <w:i w:val="false"/>
          <w:iCs w:val="false"/>
          <w:color w:val="000000"/>
          <w:sz w:val="24"/>
          <w:szCs w:val="24"/>
        </w:rPr>
        <w:t xml:space="preserve"> and amendments at its principal place of business.</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 and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Mexico, specifically the New Mexico Limited Liability Company Act, Chapter 53, Article 19, NMSA 1978. Under </w:t>
      </w:r>
      <w:r>
        <w:rPr>
          <w:rFonts w:ascii="Times New Roman" w:cs="Times New Roman" w:eastAsia="Times New Roman" w:hAnsi="Times New Roman"/>
          <w:b/>
          <w:bCs/>
          <w:i w:val="false"/>
          <w:iCs w:val="false"/>
          <w:color w:val="000000"/>
          <w:sz w:val="24"/>
          <w:szCs w:val="24"/>
        </w:rPr>
        <w:t xml:space="preserve">§ 53-19-65, NMSA 1978</w:t>
      </w:r>
      <w:r>
        <w:rPr>
          <w:rFonts w:ascii="Times New Roman" w:cs="Times New Roman" w:eastAsia="Times New Roman" w:hAnsi="Times New Roman"/>
          <w:b w:val="false"/>
          <w:bCs w:val="false"/>
          <w:i w:val="false"/>
          <w:iCs w:val="false"/>
          <w:color w:val="000000"/>
          <w:sz w:val="24"/>
          <w:szCs w:val="24"/>
        </w:rPr>
        <w:t xml:space="preserve">, the policy of the Act is to give </w:t>
      </w:r>
      <w:r>
        <w:rPr>
          <w:rFonts w:ascii="Times New Roman" w:cs="Times New Roman" w:eastAsia="Times New Roman" w:hAnsi="Times New Roman"/>
          <w:b/>
          <w:bCs/>
          <w:i w:val="false"/>
          <w:iCs w:val="false"/>
          <w:color w:val="000000"/>
          <w:sz w:val="24"/>
          <w:szCs w:val="24"/>
        </w:rPr>
        <w:t xml:space="preserve">maximum effect to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arbitration / negotiation]</w:t>
      </w:r>
      <w:r>
        <w:rPr>
          <w:rFonts w:ascii="Times New Roman" w:cs="Times New Roman" w:eastAsia="Times New Roman" w:hAnsi="Times New Roman"/>
          <w:b w:val="false"/>
          <w:bCs w:val="false"/>
          <w:i w:val="false"/>
          <w:iCs w:val="false"/>
          <w:color w:val="000000"/>
          <w:sz w:val="24"/>
          <w:szCs w:val="24"/>
        </w:rPr>
        <w:t xml:space="preserve"> before litigation. Venue: </w:t>
      </w:r>
      <w:r>
        <w:rPr>
          <w:rFonts w:ascii="Times New Roman" w:cs="Times New Roman" w:eastAsia="Times New Roman" w:hAnsi="Times New Roman"/>
          <w:b/>
          <w:bCs/>
          <w:color w:val="990000"/>
          <w:sz w:val="24"/>
          <w:szCs w:val="24"/>
        </w:rPr>
        <w:t xml:space="preserve">[New Mexico district court / specify]</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New Mexico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require notarization of an operating agreement. This Agreement is NOT filed with the SOS. Each Member should sign; banks routinely request the signed OA before opening a business account.</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written Operating Agreement. CRITICAL: the Articles of Organization </w:t>
      </w:r>
      <w:r>
        <w:rPr>
          <w:rFonts w:ascii="Times New Roman" w:cs="Times New Roman" w:eastAsia="Times New Roman" w:hAnsi="Times New Roman"/>
          <w:b/>
          <w:bCs/>
          <w:i w:val="false"/>
          <w:iCs w:val="false"/>
          <w:color w:val="000000"/>
          <w:sz w:val="24"/>
          <w:szCs w:val="24"/>
        </w:rPr>
        <w:t xml:space="preserve">MUST</w:t>
      </w:r>
      <w:r>
        <w:rPr>
          <w:rFonts w:ascii="Times New Roman" w:cs="Times New Roman" w:eastAsia="Times New Roman" w:hAnsi="Times New Roman"/>
          <w:b w:val="false"/>
          <w:bCs w:val="false"/>
          <w:i w:val="false"/>
          <w:iCs w:val="false"/>
          <w:color w:val="000000"/>
          <w:sz w:val="24"/>
          <w:szCs w:val="24"/>
        </w:rPr>
        <w:t xml:space="preserve"> state that management is vested in managers (§ 53-19-15, NMSA 1978). New Mexico does not require notarization. This Agreement is NOT filed with the New Mexico Secretary of State, Business Services Division.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written Operating Agreement (§ 53-19-2(O), ${NMSA}). Maintain this Agreement and all prior versions at the principal place of business (§ 53-19-19).</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Articles MUST state that management is vested in managers (§ 53-19-15). Managers need not be Members or natural persons. This Exhibit overrides the value-of-contributions voting (§ 53-19-17), profit/loss (§ 53-19-22), and distribution (§ 53-19-23) defaults.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Mexico limited liability company is provided by Boost Suite for informational and educational purposes only. It does not constitute legal advice and does not create an attorney-client relationship. Boost Suite is not a law firm. This template is based on the New Mexico Limited Liability Company Act, Chapter 53, Article 19, NMSA 1978, including NMSA 1978 §§ 53-19-2(O), 53-19-5, 53-19-7, 53-19-8, 53-19-9, 53-19-10, 53-19-13, 53-19-15, 53-19-16, 53-19-17, 53-19-18, 53-19-19, 53-19-21, 53-19-22, 53-19-23, 53-19-24, 53-19-25, 53-19-26, 53-19-32, 53-19-33, 53-19-35, 53-19-36, 53-19-37, 53-19-38, 53-19-39, 53-19-40, 53-19-41, 53-19-44, 53-19-45, 53-19-46, 53-19-63, 53-19-65, 53-19-66.1, and 53-19-66.2. Laws change; Boost Suite does not guarantee that this template reflects the most current version of New Mexico law.</w:t>
      </w:r>
    </w:p>
    <w:p>
      <w:r>
        <w:br/>
      </w:r>
    </w:p>
    <w:p>
      <w:pPr>
        <w:spacing w:after="80" w:before="0" w:line="276" w:lineRule="auto"/>
      </w:pPr>
      <w:r>
        <w:rPr>
          <w:rFonts w:ascii="Times New Roman" w:cs="Times New Roman" w:eastAsia="Times New Roman" w:hAnsi="Times New Roman"/>
          <w:b/>
          <w:bCs/>
          <w:sz w:val="24"/>
          <w:szCs w:val="24"/>
        </w:rPr>
        <w:t xml:space="preserve">Your New Mexico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c1b2bmzo2lr6ewaznkkn1">
        <w:r>
          <w:rPr>
            <w:rFonts w:ascii="Times New Roman" w:cs="Times New Roman" w:eastAsia="Times New Roman" w:hAnsi="Times New Roman"/>
            <w:color w:val="0000CC"/>
            <w:sz w:val="24"/>
            <w:szCs w:val="24"/>
            <w:u w:val="single"/>
          </w:rPr>
          <w:t xml:space="preserve">https://boostsuite.com/llc-operating-agreement/new-mexico/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pds0hacgux7lcepoihooz">
        <w:r>
          <w:rPr>
            <w:rFonts w:ascii="Times New Roman" w:cs="Times New Roman" w:eastAsia="Times New Roman" w:hAnsi="Times New Roman"/>
            <w:color w:val="0000CC"/>
            <w:sz w:val="24"/>
            <w:szCs w:val="24"/>
            <w:u w:val="single"/>
          </w:rPr>
          <w:t xml:space="preserve">https://boostsuite.com/how-to-start-an-llc/new-mexico/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xeiiuoc6tv8fhd-xzdqh">
        <w:r>
          <w:rPr>
            <w:rFonts w:ascii="Times New Roman" w:cs="Times New Roman" w:eastAsia="Times New Roman" w:hAnsi="Times New Roman"/>
            <w:color w:val="0000CC"/>
            <w:sz w:val="24"/>
            <w:szCs w:val="24"/>
            <w:u w:val="single"/>
          </w:rPr>
          <w:t xml:space="preserve">https://boostsuite.com/how-to-start-an-llc/cost/new-mexico/</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c1b2bmzo2lr6ewaznkkn1" Type="http://schemas.openxmlformats.org/officeDocument/2006/relationships/hyperlink" Target="https://boostsuite.com/llc-operating-agreement/new-mexico/" TargetMode="External"/><Relationship Id="rIdpds0hacgux7lcepoihooz" Type="http://schemas.openxmlformats.org/officeDocument/2006/relationships/hyperlink" Target="https://boostsuite.com/how-to-start-an-llc/new-mexico/" TargetMode="External"/><Relationship Id="rIdhxeiiuoc6tv8fhd-xzdqh" Type="http://schemas.openxmlformats.org/officeDocument/2006/relationships/hyperlink" Target="https://boostsuite.com/how-to-start-an-llc/cost/new-mexic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2026-04-23T18:31:27.261Z</dcterms:created>
  <dcterms:modified xsi:type="dcterms:W3CDTF">2026-04-23T18:31:27.261Z</dcterms:modified>
</cp:coreProperties>
</file>

<file path=docProps/custom.xml><?xml version="1.0" encoding="utf-8"?>
<Properties xmlns="http://schemas.openxmlformats.org/officeDocument/2006/custom-properties" xmlns:vt="http://schemas.openxmlformats.org/officeDocument/2006/docPropsVTypes"/>
</file>