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before="200" w:line="276" w:lineRule="auto"/>
        <w:jc w:val="center"/>
      </w:pPr>
      <w:r>
        <w:rPr>
          <w:rFonts w:ascii="Times New Roman" w:cs="Times New Roman" w:eastAsia="Times New Roman" w:hAnsi="Times New Roman"/>
          <w:b/>
          <w:bCs/>
          <w:sz w:val="28"/>
          <w:szCs w:val="28"/>
        </w:rPr>
        <w:t xml:space="preserve">NEW HAMPSHIRE LIMITED LIABILITY COMPANY</w:t>
      </w:r>
    </w:p>
    <w:p>
      <w:pPr>
        <w:spacing w:after="60" w:before="40"/>
        <w:jc w:val="center"/>
      </w:pPr>
      <w:r>
        <w:rPr>
          <w:rFonts w:ascii="Times New Roman" w:cs="Times New Roman" w:eastAsia="Times New Roman" w:hAnsi="Times New Roman"/>
          <w:b/>
          <w:bCs/>
          <w:sz w:val="28"/>
          <w:szCs w:val="28"/>
        </w:rPr>
        <w:t xml:space="preserve">SINGLE-MEMBER OPERATING AGREEMENT</w:t>
      </w:r>
    </w:p>
    <w:p>
      <w:pPr>
        <w:spacing w:after="80" w:before="0" w:line="276" w:lineRule="auto"/>
        <w:jc w:val="center"/>
      </w:pPr>
      <w:r>
        <w:rPr>
          <w:rFonts w:ascii="Times New Roman" w:cs="Times New Roman" w:eastAsia="Times New Roman" w:hAnsi="Times New Roman"/>
          <w:i/>
          <w:iCs/>
          <w:sz w:val="24"/>
          <w:szCs w:val="24"/>
        </w:rPr>
        <w:t xml:space="preserve">Governed by the New Hampshire Limited Liability Company Act, RSA chapter 304-C</w:t>
      </w:r>
    </w:p>
    <w:p>
      <w:pPr>
        <w:pBdr>
          <w:bottom w:val="single" w:color="BBBBBB" w:sz="6" w:space="1"/>
        </w:pBdr>
        <w:spacing w:after="120" w:before="120"/>
      </w:pPr>
    </w:p>
    <w:p>
      <w:pPr>
        <w:spacing w:after="100" w:before="200" w:line="276" w:lineRule="auto"/>
        <w:jc w:val="center"/>
      </w:pPr>
      <w:r>
        <w:rPr>
          <w:rFonts w:ascii="Times New Roman" w:cs="Times New Roman" w:eastAsia="Times New Roman" w:hAnsi="Times New Roman"/>
          <w:b/>
          <w:bCs/>
          <w:color w:val="000000"/>
          <w:sz w:val="28"/>
          <w:szCs w:val="28"/>
        </w:rPr>
        <w:t xml:space="preserve">ARTICLE I
ORGANIZATION</w:t>
      </w:r>
    </w:p>
    <w:p>
      <w:pPr>
        <w:spacing w:after="60" w:before="120" w:line="276" w:lineRule="auto"/>
      </w:pPr>
      <w:r>
        <w:rPr>
          <w:rFonts w:ascii="Times New Roman" w:cs="Times New Roman" w:eastAsia="Times New Roman" w:hAnsi="Times New Roman"/>
          <w:b/>
          <w:bCs/>
          <w:color w:val="000000"/>
          <w:sz w:val="24"/>
          <w:szCs w:val="24"/>
        </w:rPr>
        <w:t xml:space="preserve">1.01  Formation and Governing Law.</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Limited Liability Company (the </w:t>
      </w:r>
      <w:r>
        <w:rPr>
          <w:rFonts w:ascii="Times New Roman" w:cs="Times New Roman" w:eastAsia="Times New Roman" w:hAnsi="Times New Roman"/>
          <w:b/>
          <w:bCs/>
          <w:i w:val="false"/>
          <w:iCs w:val="false"/>
          <w:color w:val="000000"/>
          <w:sz w:val="24"/>
          <w:szCs w:val="24"/>
        </w:rPr>
        <w:t xml:space="preserve">"Company"</w:t>
      </w:r>
      <w:r>
        <w:rPr>
          <w:rFonts w:ascii="Times New Roman" w:cs="Times New Roman" w:eastAsia="Times New Roman" w:hAnsi="Times New Roman"/>
          <w:b w:val="false"/>
          <w:bCs w:val="false"/>
          <w:i w:val="false"/>
          <w:iCs w:val="false"/>
          <w:color w:val="000000"/>
          <w:sz w:val="24"/>
          <w:szCs w:val="24"/>
        </w:rPr>
        <w:t xml:space="preserve">) is organized under the New Hampshire Limited Liability Company Act, RSA chapter 304-C (the </w:t>
      </w:r>
      <w:r>
        <w:rPr>
          <w:rFonts w:ascii="Times New Roman" w:cs="Times New Roman" w:eastAsia="Times New Roman" w:hAnsi="Times New Roman"/>
          <w:b/>
          <w:bCs/>
          <w:i w:val="false"/>
          <w:iCs w:val="false"/>
          <w:color w:val="000000"/>
          <w:sz w:val="24"/>
          <w:szCs w:val="24"/>
        </w:rPr>
        <w:t xml:space="preserve">"Act"</w:t>
      </w:r>
      <w:r>
        <w:rPr>
          <w:rFonts w:ascii="Times New Roman" w:cs="Times New Roman" w:eastAsia="Times New Roman" w:hAnsi="Times New Roman"/>
          <w:b w:val="false"/>
          <w:bCs w:val="false"/>
          <w:i w:val="false"/>
          <w:iCs w:val="false"/>
          <w:color w:val="000000"/>
          <w:sz w:val="24"/>
          <w:szCs w:val="24"/>
        </w:rPr>
        <w:t xml:space="preserve">). The rights and obligations of the Members are subject to the Act except as expressly modified by this Operating Agreement.</w:t>
      </w:r>
    </w:p>
    <w:p>
      <w:pPr>
        <w:spacing w:after="60" w:before="120" w:line="276" w:lineRule="auto"/>
      </w:pPr>
      <w:r>
        <w:rPr>
          <w:rFonts w:ascii="Times New Roman" w:cs="Times New Roman" w:eastAsia="Times New Roman" w:hAnsi="Times New Roman"/>
          <w:b/>
          <w:bCs/>
          <w:color w:val="000000"/>
          <w:sz w:val="24"/>
          <w:szCs w:val="24"/>
        </w:rPr>
        <w:t xml:space="preserve">1.02  Company Name.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legal name of the Company is:</w:t>
      </w:r>
    </w:p>
    <w:p>
      <w:pPr>
        <w:spacing w:after="80" w:before="0" w:line="276" w:lineRule="auto"/>
      </w:pPr>
      <w:r>
        <w:rPr>
          <w:rFonts w:ascii="Times New Roman" w:cs="Times New Roman" w:eastAsia="Times New Roman" w:hAnsi="Times New Roman"/>
          <w:b/>
          <w:bCs/>
          <w:color w:val="990000"/>
          <w:sz w:val="24"/>
          <w:szCs w:val="24"/>
        </w:rPr>
        <w:t xml:space="preserve">[Full legal name — must match Certificate of Formation exactly]</w:t>
      </w:r>
    </w:p>
    <w:p>
      <w:pPr>
        <w:spacing w:after="60" w:before="120" w:line="276" w:lineRule="auto"/>
      </w:pPr>
      <w:r>
        <w:rPr>
          <w:rFonts w:ascii="Times New Roman" w:cs="Times New Roman" w:eastAsia="Times New Roman" w:hAnsi="Times New Roman"/>
          <w:b/>
          <w:bCs/>
          <w:color w:val="000000"/>
          <w:sz w:val="24"/>
          <w:szCs w:val="24"/>
        </w:rPr>
        <w:t xml:space="preserve">1.03  Certificate of Formation.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was formed by filing a </w:t>
      </w:r>
      <w:r>
        <w:rPr>
          <w:rFonts w:ascii="Times New Roman" w:cs="Times New Roman" w:eastAsia="Times New Roman" w:hAnsi="Times New Roman"/>
          <w:b/>
          <w:bCs/>
          <w:i w:val="false"/>
          <w:iCs w:val="false"/>
          <w:color w:val="000000"/>
          <w:sz w:val="24"/>
          <w:szCs w:val="24"/>
        </w:rPr>
        <w:t xml:space="preserve">Certificate of Formation (Form LLC-1)</w:t>
      </w:r>
      <w:r>
        <w:rPr>
          <w:rFonts w:ascii="Times New Roman" w:cs="Times New Roman" w:eastAsia="Times New Roman" w:hAnsi="Times New Roman"/>
          <w:b w:val="false"/>
          <w:bCs w:val="false"/>
          <w:i w:val="false"/>
          <w:iCs w:val="false"/>
          <w:color w:val="000000"/>
          <w:sz w:val="24"/>
          <w:szCs w:val="24"/>
        </w:rPr>
        <w:t xml:space="preserve"> with the New Hampshire Secretary of State, Corporation Division. The Certificate of Formation filing fee is </w:t>
      </w:r>
      <w:r>
        <w:rPr>
          <w:rFonts w:ascii="Times New Roman" w:cs="Times New Roman" w:eastAsia="Times New Roman" w:hAnsi="Times New Roman"/>
          <w:b/>
          <w:bCs/>
          <w:i w:val="false"/>
          <w:iCs w:val="false"/>
          <w:color w:val="000000"/>
          <w:sz w:val="24"/>
          <w:szCs w:val="24"/>
        </w:rPr>
        <w:t xml:space="preserve">$100</w:t>
      </w:r>
      <w:r>
        <w:rPr>
          <w:rFonts w:ascii="Times New Roman" w:cs="Times New Roman" w:eastAsia="Times New Roman" w:hAnsi="Times New Roman"/>
          <w:b w:val="false"/>
          <w:bCs w:val="false"/>
          <w:i w:val="false"/>
          <w:iCs w:val="false"/>
          <w:color w:val="000000"/>
          <w:sz w:val="24"/>
          <w:szCs w:val="24"/>
        </w:rPr>
        <w:t xml:space="preserve"> (RSA 304-C:191). In New Hampshire, the formation document is called the Certificate of Formation — </w:t>
      </w:r>
      <w:r>
        <w:rPr>
          <w:rFonts w:ascii="Times New Roman" w:cs="Times New Roman" w:eastAsia="Times New Roman" w:hAnsi="Times New Roman"/>
          <w:b/>
          <w:bCs/>
          <w:i w:val="false"/>
          <w:iCs w:val="false"/>
          <w:color w:val="000000"/>
          <w:sz w:val="24"/>
          <w:szCs w:val="24"/>
        </w:rPr>
        <w:t xml:space="preserve">NOT</w:t>
      </w:r>
      <w:r>
        <w:rPr>
          <w:rFonts w:ascii="Times New Roman" w:cs="Times New Roman" w:eastAsia="Times New Roman" w:hAnsi="Times New Roman"/>
          <w:b w:val="false"/>
          <w:bCs w:val="false"/>
          <w:i w:val="false"/>
          <w:iCs w:val="false"/>
          <w:color w:val="000000"/>
          <w:sz w:val="24"/>
          <w:szCs w:val="24"/>
        </w:rPr>
        <w:t xml:space="preserve"> "Articles of Organization." This Operating Agreement is internal and is NOT filed with the New Hampshire Secretary of State.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Important: under </w:t>
      </w:r>
      <w:r>
        <w:rPr>
          <w:rFonts w:ascii="Times New Roman" w:cs="Times New Roman" w:eastAsia="Times New Roman" w:hAnsi="Times New Roman"/>
          <w:b/>
          <w:bCs/>
          <w:i w:val="false"/>
          <w:iCs w:val="false"/>
          <w:color w:val="000000"/>
          <w:sz w:val="24"/>
          <w:szCs w:val="24"/>
        </w:rPr>
        <w:t xml:space="preserve">RSA 304-C:31</w:t>
      </w:r>
      <w:r>
        <w:rPr>
          <w:rFonts w:ascii="Times New Roman" w:cs="Times New Roman" w:eastAsia="Times New Roman" w:hAnsi="Times New Roman"/>
          <w:b w:val="false"/>
          <w:bCs w:val="false"/>
          <w:i w:val="false"/>
          <w:iCs w:val="false"/>
          <w:color w:val="000000"/>
          <w:sz w:val="24"/>
          <w:szCs w:val="24"/>
        </w:rPr>
        <w:t xml:space="preserve">, the Certificate of Formation must state whether the LLC is managed by its members or by managers. This Agreement must be consistent with that election.</w:t>
      </w:r>
    </w:p>
    <w:p>
      <w:pPr>
        <w:spacing w:after="60" w:before="120" w:line="276" w:lineRule="auto"/>
      </w:pPr>
      <w:r>
        <w:rPr>
          <w:rFonts w:ascii="Times New Roman" w:cs="Times New Roman" w:eastAsia="Times New Roman" w:hAnsi="Times New Roman"/>
          <w:b/>
          <w:bCs/>
          <w:color w:val="000000"/>
          <w:sz w:val="24"/>
          <w:szCs w:val="24"/>
        </w:rPr>
        <w:t xml:space="preserve">1.04  Registered Agent and Registered Office.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Every New Hampshire LLC must maintain a registered agent and registered office in the state (RSA 304-C:36). The registered agent must have a physical address in New Hampshire. Registered agent: </w:t>
      </w:r>
      <w:r>
        <w:rPr>
          <w:rFonts w:ascii="Times New Roman" w:cs="Times New Roman" w:eastAsia="Times New Roman" w:hAnsi="Times New Roman"/>
          <w:b/>
          <w:bCs/>
          <w:color w:val="990000"/>
          <w:sz w:val="24"/>
          <w:szCs w:val="24"/>
        </w:rPr>
        <w:t xml:space="preserve">[Full Name]</w:t>
      </w:r>
      <w:r>
        <w:rPr>
          <w:rFonts w:ascii="Times New Roman" w:cs="Times New Roman" w:eastAsia="Times New Roman" w:hAnsi="Times New Roman"/>
          <w:b w:val="false"/>
          <w:bCs w:val="false"/>
          <w:i w:val="false"/>
          <w:iCs w:val="false"/>
          <w:color w:val="000000"/>
          <w:sz w:val="24"/>
          <w:szCs w:val="24"/>
        </w:rPr>
        <w:t xml:space="preserve">. Registered office: </w:t>
      </w:r>
      <w:r>
        <w:rPr>
          <w:rFonts w:ascii="Times New Roman" w:cs="Times New Roman" w:eastAsia="Times New Roman" w:hAnsi="Times New Roman"/>
          <w:b/>
          <w:bCs/>
          <w:color w:val="990000"/>
          <w:sz w:val="24"/>
          <w:szCs w:val="24"/>
        </w:rPr>
        <w:t xml:space="preserve">[Street, City, NH ZIP]</w:t>
      </w:r>
    </w:p>
    <w:p>
      <w:pPr>
        <w:spacing w:after="60" w:before="120" w:line="276" w:lineRule="auto"/>
      </w:pPr>
      <w:r>
        <w:rPr>
          <w:rFonts w:ascii="Times New Roman" w:cs="Times New Roman" w:eastAsia="Times New Roman" w:hAnsi="Times New Roman"/>
          <w:b/>
          <w:bCs/>
          <w:color w:val="000000"/>
          <w:sz w:val="24"/>
          <w:szCs w:val="24"/>
        </w:rPr>
        <w:t xml:space="preserve">1.05  Principal Office.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principal office is: </w:t>
      </w:r>
      <w:r>
        <w:rPr>
          <w:rFonts w:ascii="Times New Roman" w:cs="Times New Roman" w:eastAsia="Times New Roman" w:hAnsi="Times New Roman"/>
          <w:b/>
          <w:bCs/>
          <w:color w:val="990000"/>
          <w:sz w:val="24"/>
          <w:szCs w:val="24"/>
        </w:rPr>
        <w:t xml:space="preserve">[Street, City, NH ZIP]</w:t>
      </w:r>
    </w:p>
    <w:p>
      <w:pPr>
        <w:spacing w:after="60" w:before="120" w:line="276" w:lineRule="auto"/>
      </w:pPr>
      <w:r>
        <w:rPr>
          <w:rFonts w:ascii="Times New Roman" w:cs="Times New Roman" w:eastAsia="Times New Roman" w:hAnsi="Times New Roman"/>
          <w:b/>
          <w:bCs/>
          <w:color w:val="000000"/>
          <w:sz w:val="24"/>
          <w:szCs w:val="24"/>
        </w:rPr>
        <w:t xml:space="preserve">1.06  Purpose.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is organized to engage in: </w:t>
      </w:r>
      <w:r>
        <w:rPr>
          <w:rFonts w:ascii="Times New Roman" w:cs="Times New Roman" w:eastAsia="Times New Roman" w:hAnsi="Times New Roman"/>
          <w:b/>
          <w:bCs/>
          <w:color w:val="990000"/>
          <w:sz w:val="24"/>
          <w:szCs w:val="24"/>
        </w:rPr>
        <w:t xml:space="preserve">[Describe primary business purpose]</w:t>
      </w:r>
      <w:r>
        <w:rPr>
          <w:rFonts w:ascii="Times New Roman" w:cs="Times New Roman" w:eastAsia="Times New Roman" w:hAnsi="Times New Roman"/>
          <w:b w:val="false"/>
          <w:bCs w:val="false"/>
          <w:i w:val="false"/>
          <w:iCs w:val="false"/>
          <w:color w:val="000000"/>
          <w:sz w:val="24"/>
          <w:szCs w:val="24"/>
        </w:rPr>
        <w:t xml:space="preserve">, and any lawful activity permitted under the Act.</w:t>
      </w:r>
    </w:p>
    <w:p>
      <w:pPr>
        <w:spacing w:after="60" w:before="120" w:line="276" w:lineRule="auto"/>
      </w:pPr>
      <w:r>
        <w:rPr>
          <w:rFonts w:ascii="Times New Roman" w:cs="Times New Roman" w:eastAsia="Times New Roman" w:hAnsi="Times New Roman"/>
          <w:b/>
          <w:bCs/>
          <w:color w:val="000000"/>
          <w:sz w:val="24"/>
          <w:szCs w:val="24"/>
        </w:rPr>
        <w:t xml:space="preserve">1.07  Operating Agreement — Written, Oral, or Implied.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RSA 304-C:40</w:t>
      </w:r>
      <w:r>
        <w:rPr>
          <w:rFonts w:ascii="Times New Roman" w:cs="Times New Roman" w:eastAsia="Times New Roman" w:hAnsi="Times New Roman"/>
          <w:b w:val="false"/>
          <w:bCs w:val="false"/>
          <w:i w:val="false"/>
          <w:iCs w:val="false"/>
          <w:color w:val="000000"/>
          <w:sz w:val="24"/>
          <w:szCs w:val="24"/>
        </w:rPr>
        <w:t xml:space="preserve">, unless a written operating agreement provides otherwise, a New Hampshire operating agreement may be </w:t>
      </w:r>
      <w:r>
        <w:rPr>
          <w:rFonts w:ascii="Times New Roman" w:cs="Times New Roman" w:eastAsia="Times New Roman" w:hAnsi="Times New Roman"/>
          <w:b/>
          <w:bCs/>
          <w:i w:val="false"/>
          <w:iCs w:val="false"/>
          <w:color w:val="000000"/>
          <w:sz w:val="24"/>
          <w:szCs w:val="24"/>
        </w:rPr>
        <w:t xml:space="preserve">written, oral, or implied by a course of dealing or otherwise</w:t>
      </w:r>
      <w:r>
        <w:rPr>
          <w:rFonts w:ascii="Times New Roman" w:cs="Times New Roman" w:eastAsia="Times New Roman" w:hAnsi="Times New Roman"/>
          <w:b w:val="false"/>
          <w:bCs w:val="false"/>
          <w:i w:val="false"/>
          <w:iCs w:val="false"/>
          <w:color w:val="000000"/>
          <w:sz w:val="24"/>
          <w:szCs w:val="24"/>
        </w:rPr>
        <w:t xml:space="preserve">. Under </w:t>
      </w:r>
      <w:r>
        <w:rPr>
          <w:rFonts w:ascii="Times New Roman" w:cs="Times New Roman" w:eastAsia="Times New Roman" w:hAnsi="Times New Roman"/>
          <w:b/>
          <w:bCs/>
          <w:i w:val="false"/>
          <w:iCs w:val="false"/>
          <w:color w:val="000000"/>
          <w:sz w:val="24"/>
          <w:szCs w:val="24"/>
        </w:rPr>
        <w:t xml:space="preserve">RSA 304-C:42</w:t>
      </w:r>
      <w:r>
        <w:rPr>
          <w:rFonts w:ascii="Times New Roman" w:cs="Times New Roman" w:eastAsia="Times New Roman" w:hAnsi="Times New Roman"/>
          <w:b w:val="false"/>
          <w:bCs w:val="false"/>
          <w:i w:val="false"/>
          <w:iCs w:val="false"/>
          <w:color w:val="000000"/>
          <w:sz w:val="24"/>
          <w:szCs w:val="24"/>
        </w:rPr>
        <w:t xml:space="preserve">, the LLC is bound by and may enforce this Agreement even though the LLC has not itself manifested assent. The Members have elected to execute this WRITTEN Operating Agreement for certainty, banking purposes, and enforceability of all governance provisions.</w:t>
      </w:r>
    </w:p>
    <w:p>
      <w:pPr>
        <w:spacing w:after="60" w:before="120" w:line="276" w:lineRule="auto"/>
      </w:pPr>
      <w:r>
        <w:rPr>
          <w:rFonts w:ascii="Times New Roman" w:cs="Times New Roman" w:eastAsia="Times New Roman" w:hAnsi="Times New Roman"/>
          <w:b/>
          <w:bCs/>
          <w:color w:val="000000"/>
          <w:sz w:val="24"/>
          <w:szCs w:val="24"/>
        </w:rPr>
        <w:t xml:space="preserve">1.08  Annual Report.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Annual reports are due between </w:t>
      </w:r>
      <w:r>
        <w:rPr>
          <w:rFonts w:ascii="Times New Roman" w:cs="Times New Roman" w:eastAsia="Times New Roman" w:hAnsi="Times New Roman"/>
          <w:b/>
          <w:bCs/>
          <w:i w:val="false"/>
          <w:iCs w:val="false"/>
          <w:color w:val="000000"/>
          <w:sz w:val="24"/>
          <w:szCs w:val="24"/>
        </w:rPr>
        <w:t xml:space="preserve">January 1 and April 1</w:t>
      </w:r>
      <w:r>
        <w:rPr>
          <w:rFonts w:ascii="Times New Roman" w:cs="Times New Roman" w:eastAsia="Times New Roman" w:hAnsi="Times New Roman"/>
          <w:b w:val="false"/>
          <w:bCs w:val="false"/>
          <w:i w:val="false"/>
          <w:iCs w:val="false"/>
          <w:color w:val="000000"/>
          <w:sz w:val="24"/>
          <w:szCs w:val="24"/>
        </w:rPr>
        <w:t xml:space="preserve"> each year (RSA 304-C:194). Fee: </w:t>
      </w:r>
      <w:r>
        <w:rPr>
          <w:rFonts w:ascii="Times New Roman" w:cs="Times New Roman" w:eastAsia="Times New Roman" w:hAnsi="Times New Roman"/>
          <w:b/>
          <w:bCs/>
          <w:i w:val="false"/>
          <w:iCs w:val="false"/>
          <w:color w:val="000000"/>
          <w:sz w:val="24"/>
          <w:szCs w:val="24"/>
        </w:rPr>
        <w:t xml:space="preserve">$100</w:t>
      </w:r>
      <w:r>
        <w:rPr>
          <w:rFonts w:ascii="Times New Roman" w:cs="Times New Roman" w:eastAsia="Times New Roman" w:hAnsi="Times New Roman"/>
          <w:b w:val="false"/>
          <w:bCs w:val="false"/>
          <w:i w:val="false"/>
          <w:iCs w:val="false"/>
          <w:color w:val="000000"/>
          <w:sz w:val="24"/>
          <w:szCs w:val="24"/>
        </w:rPr>
        <w:t xml:space="preserve">. Late fee: </w:t>
      </w:r>
      <w:r>
        <w:rPr>
          <w:rFonts w:ascii="Times New Roman" w:cs="Times New Roman" w:eastAsia="Times New Roman" w:hAnsi="Times New Roman"/>
          <w:b/>
          <w:bCs/>
          <w:i w:val="false"/>
          <w:iCs w:val="false"/>
          <w:color w:val="000000"/>
          <w:sz w:val="24"/>
          <w:szCs w:val="24"/>
        </w:rPr>
        <w:t xml:space="preserve">$50</w:t>
      </w:r>
      <w:r>
        <w:rPr>
          <w:rFonts w:ascii="Times New Roman" w:cs="Times New Roman" w:eastAsia="Times New Roman" w:hAnsi="Times New Roman"/>
          <w:b w:val="false"/>
          <w:bCs w:val="false"/>
          <w:i w:val="false"/>
          <w:iCs w:val="false"/>
          <w:color w:val="000000"/>
          <w:sz w:val="24"/>
          <w:szCs w:val="24"/>
        </w:rPr>
        <w:t xml:space="preserve">. LLCs formed between December 1 and April 1 skip the immediately following annual report cycle.</w:t>
      </w:r>
    </w:p>
    <w:p>
      <w:pPr>
        <w:spacing w:after="100" w:before="200" w:line="276" w:lineRule="auto"/>
        <w:jc w:val="center"/>
      </w:pPr>
      <w:r>
        <w:rPr>
          <w:rFonts w:ascii="Times New Roman" w:cs="Times New Roman" w:eastAsia="Times New Roman" w:hAnsi="Times New Roman"/>
          <w:b/>
          <w:bCs/>
          <w:color w:val="000000"/>
          <w:sz w:val="28"/>
          <w:szCs w:val="28"/>
        </w:rPr>
        <w:t xml:space="preserve">ARTICLE II
DEFINITIONS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As used in this Agreement, the following terms have the meanings set forth below:</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"Act" means the New Hampshire Limited Liability Company Act, RSA chapter 304-C, as amended.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"Agreement" means this written Operating Agreement, as amended.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"Certificate" means the Company's </w:t>
      </w:r>
      <w:r>
        <w:rPr>
          <w:rFonts w:ascii="Times New Roman" w:cs="Times New Roman" w:eastAsia="Times New Roman" w:hAnsi="Times New Roman"/>
          <w:b/>
          <w:bCs/>
          <w:i w:val="false"/>
          <w:iCs w:val="false"/>
          <w:color w:val="000000"/>
          <w:sz w:val="24"/>
          <w:szCs w:val="24"/>
        </w:rPr>
        <w:t xml:space="preserve">Certificate of Formation (Form LLC-1)</w:t>
      </w:r>
      <w:r>
        <w:rPr>
          <w:rFonts w:ascii="Times New Roman" w:cs="Times New Roman" w:eastAsia="Times New Roman" w:hAnsi="Times New Roman"/>
          <w:b w:val="false"/>
          <w:bCs w:val="false"/>
          <w:i w:val="false"/>
          <w:iCs w:val="false"/>
          <w:color w:val="000000"/>
          <w:sz w:val="24"/>
          <w:szCs w:val="24"/>
        </w:rPr>
        <w:t xml:space="preserve"> filed with the New Hampshire Secretary of State, as amended.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"Capital Account" means the account maintained for each Member reflecting contributions, allocations, and distributions.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"Capital Contribution" means any cash, property, or services contributed by a Member, as documented in Exhibit 1.</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(f)  </w:t>
      </w:r>
      <w:r>
        <w:rPr>
          <w:rFonts w:ascii="Times New Roman" w:cs="Times New Roman" w:eastAsia="Times New Roman" w:hAnsi="Times New Roman"/>
          <w:b w:val="false"/>
          <w:bCs w:val="false"/>
          <w:i w:val="false"/>
          <w:iCs w:val="false"/>
          <w:color w:val="000000"/>
          <w:sz w:val="24"/>
          <w:szCs w:val="24"/>
        </w:rPr>
        <w:t xml:space="preserve">"Ownership Interest" means a Member's percentage interest in the Company as set forth in Exhibit 1.</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(g)  </w:t>
      </w:r>
      <w:r>
        <w:rPr>
          <w:rFonts w:ascii="Times New Roman" w:cs="Times New Roman" w:eastAsia="Times New Roman" w:hAnsi="Times New Roman"/>
          <w:b w:val="false"/>
          <w:bCs w:val="false"/>
          <w:i w:val="false"/>
          <w:iCs w:val="false"/>
          <w:color w:val="000000"/>
          <w:sz w:val="24"/>
          <w:szCs w:val="24"/>
        </w:rPr>
        <w:t xml:space="preserve">"Transferable Interest" means the right to receive distributions from the Company, which may be transferred without conferring governance rights.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(h)  </w:t>
      </w:r>
      <w:r>
        <w:rPr>
          <w:rFonts w:ascii="Times New Roman" w:cs="Times New Roman" w:eastAsia="Times New Roman" w:hAnsi="Times New Roman"/>
          <w:b w:val="false"/>
          <w:bCs w:val="false"/>
          <w:i w:val="false"/>
          <w:iCs w:val="false"/>
          <w:color w:val="000000"/>
          <w:sz w:val="24"/>
          <w:szCs w:val="24"/>
        </w:rPr>
        <w:t xml:space="preserve">"Contribution-Based Default" means the statutory rule under RSA 304-C:65 and RSA 304-C:90 that ties voting power and profit/loss allocations to the agreed value of contributions received and not returned — </w:t>
      </w:r>
      <w:r>
        <w:rPr>
          <w:rFonts w:ascii="Times New Roman" w:cs="Times New Roman" w:eastAsia="Times New Roman" w:hAnsi="Times New Roman"/>
          <w:b/>
          <w:bCs/>
          <w:i w:val="false"/>
          <w:iCs w:val="false"/>
          <w:color w:val="000000"/>
          <w:sz w:val="24"/>
          <w:szCs w:val="24"/>
        </w:rPr>
        <w:t xml:space="preserve">NOT</w:t>
      </w:r>
      <w:r>
        <w:rPr>
          <w:rFonts w:ascii="Times New Roman" w:cs="Times New Roman" w:eastAsia="Times New Roman" w:hAnsi="Times New Roman"/>
          <w:b w:val="false"/>
          <w:bCs w:val="false"/>
          <w:i w:val="false"/>
          <w:iCs w:val="false"/>
          <w:color w:val="000000"/>
          <w:sz w:val="24"/>
          <w:szCs w:val="24"/>
        </w:rPr>
        <w:t xml:space="preserve"> automatic per-capita shares.</w:t>
      </w:r>
    </w:p>
    <w:p>
      <w:pPr>
        <w:spacing w:after="100" w:before="200" w:line="276" w:lineRule="auto"/>
        <w:jc w:val="center"/>
      </w:pPr>
      <w:r>
        <w:rPr>
          <w:rFonts w:ascii="Times New Roman" w:cs="Times New Roman" w:eastAsia="Times New Roman" w:hAnsi="Times New Roman"/>
          <w:b/>
          <w:bCs/>
          <w:color w:val="000000"/>
          <w:sz w:val="28"/>
          <w:szCs w:val="28"/>
        </w:rPr>
        <w:t xml:space="preserve">ARTICLE III
CAPITAL CONTRIBUTIONS AND ACCOUNTS</w:t>
      </w:r>
    </w:p>
    <w:p>
      <w:pPr>
        <w:spacing w:after="60" w:before="120" w:line="276" w:lineRule="auto"/>
      </w:pPr>
      <w:r>
        <w:rPr>
          <w:rFonts w:ascii="Times New Roman" w:cs="Times New Roman" w:eastAsia="Times New Roman" w:hAnsi="Times New Roman"/>
          <w:b/>
          <w:bCs/>
          <w:color w:val="000000"/>
          <w:sz w:val="24"/>
          <w:szCs w:val="24"/>
        </w:rPr>
        <w:t xml:space="preserve">III.01  Initial Capital Contributions.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Member's initial Capital Contribution and Ownership Interest are set forth in Exhibit 1. Members acknowledge that under </w:t>
      </w:r>
      <w:r>
        <w:rPr>
          <w:rFonts w:ascii="Times New Roman" w:cs="Times New Roman" w:eastAsia="Times New Roman" w:hAnsi="Times New Roman"/>
          <w:b/>
          <w:bCs/>
          <w:i w:val="false"/>
          <w:iCs w:val="false"/>
          <w:color w:val="000000"/>
          <w:sz w:val="24"/>
          <w:szCs w:val="24"/>
        </w:rPr>
        <w:t xml:space="preserve">RSA 304-C:65</w:t>
      </w:r>
      <w:r>
        <w:rPr>
          <w:rFonts w:ascii="Times New Roman" w:cs="Times New Roman" w:eastAsia="Times New Roman" w:hAnsi="Times New Roman"/>
          <w:b w:val="false"/>
          <w:bCs w:val="false"/>
          <w:i w:val="false"/>
          <w:iCs w:val="false"/>
          <w:color w:val="000000"/>
          <w:sz w:val="24"/>
          <w:szCs w:val="24"/>
        </w:rPr>
        <w:t xml:space="preserve"> and </w:t>
      </w:r>
      <w:r>
        <w:rPr>
          <w:rFonts w:ascii="Times New Roman" w:cs="Times New Roman" w:eastAsia="Times New Roman" w:hAnsi="Times New Roman"/>
          <w:b/>
          <w:bCs/>
          <w:i w:val="false"/>
          <w:iCs w:val="false"/>
          <w:color w:val="000000"/>
          <w:sz w:val="24"/>
          <w:szCs w:val="24"/>
        </w:rPr>
        <w:t xml:space="preserve">RSA 304-C:90</w:t>
      </w:r>
      <w:r>
        <w:rPr>
          <w:rFonts w:ascii="Times New Roman" w:cs="Times New Roman" w:eastAsia="Times New Roman" w:hAnsi="Times New Roman"/>
          <w:b w:val="false"/>
          <w:bCs w:val="false"/>
          <w:i w:val="false"/>
          <w:iCs w:val="false"/>
          <w:color w:val="000000"/>
          <w:sz w:val="24"/>
          <w:szCs w:val="24"/>
        </w:rPr>
        <w:t xml:space="preserve">, if this Agreement were silent, voting power and profit/loss allocations would default to the agreed value of contributions received and not returned — </w:t>
      </w:r>
      <w:r>
        <w:rPr>
          <w:rFonts w:ascii="Times New Roman" w:cs="Times New Roman" w:eastAsia="Times New Roman" w:hAnsi="Times New Roman"/>
          <w:b/>
          <w:bCs/>
          <w:i w:val="false"/>
          <w:iCs w:val="false"/>
          <w:color w:val="000000"/>
          <w:sz w:val="24"/>
          <w:szCs w:val="24"/>
        </w:rPr>
        <w:t xml:space="preserve">NOT</w:t>
      </w:r>
      <w:r>
        <w:rPr>
          <w:rFonts w:ascii="Times New Roman" w:cs="Times New Roman" w:eastAsia="Times New Roman" w:hAnsi="Times New Roman"/>
          <w:b w:val="false"/>
          <w:bCs w:val="false"/>
          <w:i w:val="false"/>
          <w:iCs w:val="false"/>
          <w:color w:val="000000"/>
          <w:sz w:val="24"/>
          <w:szCs w:val="24"/>
        </w:rPr>
        <w:t xml:space="preserve"> per-capita shares. The Members expressly set allocations and voting in Exhibit 1.</w:t>
      </w:r>
    </w:p>
    <w:p>
      <w:pPr>
        <w:spacing w:after="60" w:before="120" w:line="276" w:lineRule="auto"/>
      </w:pPr>
      <w:r>
        <w:rPr>
          <w:rFonts w:ascii="Times New Roman" w:cs="Times New Roman" w:eastAsia="Times New Roman" w:hAnsi="Times New Roman"/>
          <w:b/>
          <w:bCs/>
          <w:color w:val="000000"/>
          <w:sz w:val="24"/>
          <w:szCs w:val="24"/>
        </w:rPr>
        <w:t xml:space="preserve">III.02  Contribution-Based Default Override.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RSA 304-C:90</w:t>
      </w:r>
      <w:r>
        <w:rPr>
          <w:rFonts w:ascii="Times New Roman" w:cs="Times New Roman" w:eastAsia="Times New Roman" w:hAnsi="Times New Roman"/>
          <w:b w:val="false"/>
          <w:bCs w:val="false"/>
          <w:i w:val="false"/>
          <w:iCs w:val="false"/>
          <w:color w:val="000000"/>
          <w:sz w:val="24"/>
          <w:szCs w:val="24"/>
        </w:rPr>
        <w:t xml:space="preserve">, profits and losses default to the agreed value of contributions received and not returned. Under </w:t>
      </w:r>
      <w:r>
        <w:rPr>
          <w:rFonts w:ascii="Times New Roman" w:cs="Times New Roman" w:eastAsia="Times New Roman" w:hAnsi="Times New Roman"/>
          <w:b/>
          <w:bCs/>
          <w:i w:val="false"/>
          <w:iCs w:val="false"/>
          <w:color w:val="000000"/>
          <w:sz w:val="24"/>
          <w:szCs w:val="24"/>
        </w:rPr>
        <w:t xml:space="preserve">RSA 304-C:65</w:t>
      </w:r>
      <w:r>
        <w:rPr>
          <w:rFonts w:ascii="Times New Roman" w:cs="Times New Roman" w:eastAsia="Times New Roman" w:hAnsi="Times New Roman"/>
          <w:b w:val="false"/>
          <w:bCs w:val="false"/>
          <w:i w:val="false"/>
          <w:iCs w:val="false"/>
          <w:color w:val="000000"/>
          <w:sz w:val="24"/>
          <w:szCs w:val="24"/>
        </w:rPr>
        <w:t xml:space="preserve">, voting follows the same formula. The Members override both defaults: all allocations and voting shall follow the Ownership Interest percentages in Exhibit 1.</w:t>
      </w:r>
    </w:p>
    <w:p>
      <w:pPr>
        <w:spacing w:after="60" w:before="120" w:line="276" w:lineRule="auto"/>
      </w:pPr>
      <w:r>
        <w:rPr>
          <w:rFonts w:ascii="Times New Roman" w:cs="Times New Roman" w:eastAsia="Times New Roman" w:hAnsi="Times New Roman"/>
          <w:b/>
          <w:bCs/>
          <w:color w:val="000000"/>
          <w:sz w:val="24"/>
          <w:szCs w:val="24"/>
        </w:rPr>
        <w:t xml:space="preserve">III.03  Capital Accounts.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maintain a separate Capital Account for each Member. Capital Accounts shall be credited with contributions and allocated profits, and debited with distributions and allocated losses, consistent with Treasury Regulation § 1.704-1(b)(2)(iv).</w:t>
      </w:r>
    </w:p>
    <w:p>
      <w:pPr>
        <w:spacing w:after="60" w:before="120" w:line="276" w:lineRule="auto"/>
      </w:pPr>
      <w:r>
        <w:rPr>
          <w:rFonts w:ascii="Times New Roman" w:cs="Times New Roman" w:eastAsia="Times New Roman" w:hAnsi="Times New Roman"/>
          <w:b/>
          <w:bCs/>
          <w:color w:val="000000"/>
          <w:sz w:val="24"/>
          <w:szCs w:val="24"/>
        </w:rPr>
        <w:t xml:space="preserve">III.04  Additional Contributions.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 Member shall be required to make any additional Capital Contribution. Under </w:t>
      </w:r>
      <w:r>
        <w:rPr>
          <w:rFonts w:ascii="Times New Roman" w:cs="Times New Roman" w:eastAsia="Times New Roman" w:hAnsi="Times New Roman"/>
          <w:b/>
          <w:bCs/>
          <w:i w:val="false"/>
          <w:iCs w:val="false"/>
          <w:color w:val="000000"/>
          <w:sz w:val="24"/>
          <w:szCs w:val="24"/>
        </w:rPr>
        <w:t xml:space="preserve">RSA 304-C:67</w:t>
      </w:r>
      <w:r>
        <w:rPr>
          <w:rFonts w:ascii="Times New Roman" w:cs="Times New Roman" w:eastAsia="Times New Roman" w:hAnsi="Times New Roman"/>
          <w:b w:val="false"/>
          <w:bCs w:val="false"/>
          <w:i w:val="false"/>
          <w:iCs w:val="false"/>
          <w:color w:val="000000"/>
          <w:sz w:val="24"/>
          <w:szCs w:val="24"/>
        </w:rPr>
        <w:t xml:space="preserve">, promising additional contributions requires unanimous member approval unless this Agreement provides otherwise.</w:t>
      </w:r>
    </w:p>
    <w:p>
      <w:pPr>
        <w:spacing w:after="60" w:before="120" w:line="276" w:lineRule="auto"/>
      </w:pPr>
      <w:r>
        <w:rPr>
          <w:rFonts w:ascii="Times New Roman" w:cs="Times New Roman" w:eastAsia="Times New Roman" w:hAnsi="Times New Roman"/>
          <w:b/>
          <w:bCs/>
          <w:color w:val="000000"/>
          <w:sz w:val="24"/>
          <w:szCs w:val="24"/>
        </w:rPr>
        <w:t xml:space="preserve">III.05  No Interest on Contributions.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 Member is entitled to receive interest on any Capital Contribution unless separately agreed in writing.</w:t>
      </w:r>
    </w:p>
    <w:p>
      <w:pPr>
        <w:spacing w:after="100" w:before="200" w:line="276" w:lineRule="auto"/>
        <w:jc w:val="center"/>
      </w:pPr>
      <w:r>
        <w:rPr>
          <w:rFonts w:ascii="Times New Roman" w:cs="Times New Roman" w:eastAsia="Times New Roman" w:hAnsi="Times New Roman"/>
          <w:b/>
          <w:bCs/>
          <w:color w:val="000000"/>
          <w:sz w:val="28"/>
          <w:szCs w:val="28"/>
        </w:rPr>
        <w:t xml:space="preserve">ARTICLE IV
ALLOCATIONS AND DISTRIBUTIONS</w:t>
      </w:r>
    </w:p>
    <w:p>
      <w:pPr>
        <w:spacing w:after="60" w:before="120" w:line="276" w:lineRule="auto"/>
      </w:pPr>
      <w:r>
        <w:rPr>
          <w:rFonts w:ascii="Times New Roman" w:cs="Times New Roman" w:eastAsia="Times New Roman" w:hAnsi="Times New Roman"/>
          <w:b/>
          <w:bCs/>
          <w:color w:val="000000"/>
          <w:sz w:val="24"/>
          <w:szCs w:val="24"/>
        </w:rPr>
        <w:t xml:space="preserve">IV.01  Profit and Loss Allocation.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Profits and losses shall be allocated in proportion to each Member's Ownership Interest in Exhibit 1, overriding the contribution-value default of </w:t>
      </w:r>
      <w:r>
        <w:rPr>
          <w:rFonts w:ascii="Times New Roman" w:cs="Times New Roman" w:eastAsia="Times New Roman" w:hAnsi="Times New Roman"/>
          <w:b/>
          <w:bCs/>
          <w:i w:val="false"/>
          <w:iCs w:val="false"/>
          <w:color w:val="000000"/>
          <w:sz w:val="24"/>
          <w:szCs w:val="24"/>
        </w:rPr>
        <w:t xml:space="preserve">RSA 304-C:90</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IV.02  Distributions.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Distributions shall be made as determined by </w:t>
      </w:r>
      <w:r>
        <w:rPr>
          <w:rFonts w:ascii="Times New Roman" w:cs="Times New Roman" w:eastAsia="Times New Roman" w:hAnsi="Times New Roman"/>
          <w:b/>
          <w:bCs/>
          <w:color w:val="990000"/>
          <w:sz w:val="24"/>
          <w:szCs w:val="24"/>
        </w:rPr>
        <w:t xml:space="preserve">[majority vote / the Manager]</w:t>
      </w:r>
      <w:r>
        <w:rPr>
          <w:rFonts w:ascii="Times New Roman" w:cs="Times New Roman" w:eastAsia="Times New Roman" w:hAnsi="Times New Roman"/>
          <w:b w:val="false"/>
          <w:bCs w:val="false"/>
          <w:i w:val="false"/>
          <w:iCs w:val="false"/>
          <w:color w:val="000000"/>
          <w:sz w:val="24"/>
          <w:szCs w:val="24"/>
        </w:rPr>
        <w:t xml:space="preserve">, in proportion to Ownership Interests in Exhibit 1, subject to the solvency restrictions of </w:t>
      </w:r>
      <w:r>
        <w:rPr>
          <w:rFonts w:ascii="Times New Roman" w:cs="Times New Roman" w:eastAsia="Times New Roman" w:hAnsi="Times New Roman"/>
          <w:b/>
          <w:bCs/>
          <w:i w:val="false"/>
          <w:iCs w:val="false"/>
          <w:color w:val="000000"/>
          <w:sz w:val="24"/>
          <w:szCs w:val="24"/>
        </w:rPr>
        <w:t xml:space="preserve">RSA 304-C:93</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IV.03  Tax Distributions.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To the extent funds are available, the Company shall make annual tax distributions estimated to cover each Member's tax liability on Company income, before any discretionary distributions.</w:t>
      </w:r>
    </w:p>
    <w:p>
      <w:pPr>
        <w:spacing w:after="60" w:before="120" w:line="276" w:lineRule="auto"/>
      </w:pPr>
      <w:r>
        <w:rPr>
          <w:rFonts w:ascii="Times New Roman" w:cs="Times New Roman" w:eastAsia="Times New Roman" w:hAnsi="Times New Roman"/>
          <w:b/>
          <w:bCs/>
          <w:color w:val="000000"/>
          <w:sz w:val="24"/>
          <w:szCs w:val="24"/>
        </w:rPr>
        <w:t xml:space="preserve">IV.04  New Hampshire Tax Compliance.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New Hampshire imposes: </w:t>
      </w:r>
      <w:r>
        <w:rPr>
          <w:rFonts w:ascii="Times New Roman" w:cs="Times New Roman" w:eastAsia="Times New Roman" w:hAnsi="Times New Roman"/>
          <w:b/>
          <w:bCs/>
          <w:i w:val="false"/>
          <w:iCs w:val="false"/>
          <w:color w:val="000000"/>
          <w:sz w:val="24"/>
          <w:szCs w:val="24"/>
        </w:rPr>
        <w:t xml:space="preserve">Business Profits Tax (BPT) at 7.5%</w:t>
      </w:r>
      <w:r>
        <w:rPr>
          <w:rFonts w:ascii="Times New Roman" w:cs="Times New Roman" w:eastAsia="Times New Roman" w:hAnsi="Times New Roman"/>
          <w:b w:val="false"/>
          <w:bCs w:val="false"/>
          <w:i w:val="false"/>
          <w:iCs w:val="false"/>
          <w:color w:val="000000"/>
          <w:sz w:val="24"/>
          <w:szCs w:val="24"/>
        </w:rPr>
        <w:t xml:space="preserve"> on income exceeding $50,000; </w:t>
      </w:r>
      <w:r>
        <w:rPr>
          <w:rFonts w:ascii="Times New Roman" w:cs="Times New Roman" w:eastAsia="Times New Roman" w:hAnsi="Times New Roman"/>
          <w:b/>
          <w:bCs/>
          <w:i w:val="false"/>
          <w:iCs w:val="false"/>
          <w:color w:val="000000"/>
          <w:sz w:val="24"/>
          <w:szCs w:val="24"/>
        </w:rPr>
        <w:t xml:space="preserve">Business Enterprise Tax (BET) at 0.55%</w:t>
      </w:r>
      <w:r>
        <w:rPr>
          <w:rFonts w:ascii="Times New Roman" w:cs="Times New Roman" w:eastAsia="Times New Roman" w:hAnsi="Times New Roman"/>
          <w:b w:val="false"/>
          <w:bCs w:val="false"/>
          <w:i w:val="false"/>
          <w:iCs w:val="false"/>
          <w:color w:val="000000"/>
          <w:sz w:val="24"/>
          <w:szCs w:val="24"/>
        </w:rPr>
        <w:t xml:space="preserve"> on the enterprise value tax base (BET paid credits against BPT). LLCs taxed as partnerships file </w:t>
      </w:r>
      <w:r>
        <w:rPr>
          <w:rFonts w:ascii="Times New Roman" w:cs="Times New Roman" w:eastAsia="Times New Roman" w:hAnsi="Times New Roman"/>
          <w:b/>
          <w:bCs/>
          <w:i w:val="false"/>
          <w:iCs w:val="false"/>
          <w:color w:val="000000"/>
          <w:sz w:val="24"/>
          <w:szCs w:val="24"/>
        </w:rPr>
        <w:t xml:space="preserve">NH-1065</w:t>
      </w:r>
      <w:r>
        <w:rPr>
          <w:rFonts w:ascii="Times New Roman" w:cs="Times New Roman" w:eastAsia="Times New Roman" w:hAnsi="Times New Roman"/>
          <w:b w:val="false"/>
          <w:bCs w:val="false"/>
          <w:i w:val="false"/>
          <w:iCs w:val="false"/>
          <w:color w:val="000000"/>
          <w:sz w:val="24"/>
          <w:szCs w:val="24"/>
        </w:rPr>
        <w:t xml:space="preserve">; returns due 15th day of the 3rd month after year-end. Estimated payments due the 15th of the 4th, 6th, 9th, and 12th months. 7-month extension if 100% of tax paid by original due date. The </w:t>
      </w:r>
      <w:r>
        <w:rPr>
          <w:rFonts w:ascii="Times New Roman" w:cs="Times New Roman" w:eastAsia="Times New Roman" w:hAnsi="Times New Roman"/>
          <w:b/>
          <w:bCs/>
          <w:i w:val="false"/>
          <w:iCs w:val="false"/>
          <w:color w:val="000000"/>
          <w:sz w:val="24"/>
          <w:szCs w:val="24"/>
        </w:rPr>
        <w:t xml:space="preserve">Interest and Dividends Tax was repealed</w:t>
      </w:r>
      <w:r>
        <w:rPr>
          <w:rFonts w:ascii="Times New Roman" w:cs="Times New Roman" w:eastAsia="Times New Roman" w:hAnsi="Times New Roman"/>
          <w:b w:val="false"/>
          <w:bCs w:val="false"/>
          <w:i w:val="false"/>
          <w:iCs w:val="false"/>
          <w:color w:val="000000"/>
          <w:sz w:val="24"/>
          <w:szCs w:val="24"/>
        </w:rPr>
        <w:t xml:space="preserve"> for periods beginning on or after January 1, 2025. </w:t>
      </w:r>
      <w:r>
        <w:rPr>
          <w:rFonts w:ascii="Times New Roman" w:cs="Times New Roman" w:eastAsia="Times New Roman" w:hAnsi="Times New Roman"/>
          <w:b/>
          <w:bCs/>
          <w:i w:val="false"/>
          <w:iCs w:val="false"/>
          <w:color w:val="000000"/>
          <w:sz w:val="24"/>
          <w:szCs w:val="24"/>
        </w:rPr>
        <w:t xml:space="preserve">No separate NH LLC franchise tax.</w:t>
      </w:r>
    </w:p>
    <w:p>
      <w:pPr>
        <w:spacing w:after="60" w:before="120" w:line="276" w:lineRule="auto"/>
      </w:pPr>
      <w:r>
        <w:rPr>
          <w:rFonts w:ascii="Times New Roman" w:cs="Times New Roman" w:eastAsia="Times New Roman" w:hAnsi="Times New Roman"/>
          <w:b/>
          <w:bCs/>
          <w:color w:val="000000"/>
          <w:sz w:val="24"/>
          <w:szCs w:val="24"/>
        </w:rPr>
        <w:t xml:space="preserve">IV.05  BOI / FinCEN.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FinCEN's March 2025 interim final rule, domestic New Hampshire LLCs are </w:t>
      </w:r>
      <w:r>
        <w:rPr>
          <w:rFonts w:ascii="Times New Roman" w:cs="Times New Roman" w:eastAsia="Times New Roman" w:hAnsi="Times New Roman"/>
          <w:b/>
          <w:bCs/>
          <w:i w:val="false"/>
          <w:iCs w:val="false"/>
          <w:color w:val="000000"/>
          <w:sz w:val="24"/>
          <w:szCs w:val="24"/>
        </w:rPr>
        <w:t xml:space="preserve">NOT currently required to file BOI reports</w:t>
      </w:r>
      <w:r>
        <w:rPr>
          <w:rFonts w:ascii="Times New Roman" w:cs="Times New Roman" w:eastAsia="Times New Roman" w:hAnsi="Times New Roman"/>
          <w:b w:val="false"/>
          <w:bCs w:val="false"/>
          <w:i w:val="false"/>
          <w:iCs w:val="false"/>
          <w:color w:val="000000"/>
          <w:sz w:val="24"/>
          <w:szCs w:val="24"/>
        </w:rPr>
        <w:t xml:space="preserve">. An EIN is still required for tax filing and bank accounts.</w:t>
      </w:r>
    </w:p>
    <w:p>
      <w:pPr>
        <w:spacing w:after="100" w:before="200" w:line="276" w:lineRule="auto"/>
        <w:jc w:val="center"/>
      </w:pPr>
      <w:r>
        <w:rPr>
          <w:rFonts w:ascii="Times New Roman" w:cs="Times New Roman" w:eastAsia="Times New Roman" w:hAnsi="Times New Roman"/>
          <w:b/>
          <w:bCs/>
          <w:color w:val="000000"/>
          <w:sz w:val="28"/>
          <w:szCs w:val="28"/>
        </w:rPr>
        <w:t xml:space="preserve">ARTICLE V
MANAGEMENT AND AUTHORITY</w:t>
      </w:r>
    </w:p>
    <w:p>
      <w:pPr>
        <w:spacing w:after="60" w:before="120" w:line="276" w:lineRule="auto"/>
      </w:pPr>
      <w:r>
        <w:rPr>
          <w:rFonts w:ascii="Times New Roman" w:cs="Times New Roman" w:eastAsia="Times New Roman" w:hAnsi="Times New Roman"/>
          <w:b/>
          <w:bCs/>
          <w:color w:val="000000"/>
          <w:sz w:val="24"/>
          <w:szCs w:val="24"/>
        </w:rPr>
        <w:t xml:space="preserve">5.01  Sole Member as Manager.</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is managed by its Sole Member, consistent with the member-managed election in the Certificate of Formation (</w:t>
      </w:r>
      <w:r>
        <w:rPr>
          <w:rFonts w:ascii="Times New Roman" w:cs="Times New Roman" w:eastAsia="Times New Roman" w:hAnsi="Times New Roman"/>
          <w:b/>
          <w:bCs/>
          <w:i w:val="false"/>
          <w:iCs w:val="false"/>
          <w:color w:val="000000"/>
          <w:sz w:val="24"/>
          <w:szCs w:val="24"/>
        </w:rPr>
        <w:t xml:space="preserve">RSA 304-C:31</w:t>
      </w:r>
      <w:r>
        <w:rPr>
          <w:rFonts w:ascii="Times New Roman" w:cs="Times New Roman" w:eastAsia="Times New Roman" w:hAnsi="Times New Roman"/>
          <w:b w:val="false"/>
          <w:bCs w:val="false"/>
          <w:i w:val="false"/>
          <w:iCs w:val="false"/>
          <w:color w:val="000000"/>
          <w:sz w:val="24"/>
          <w:szCs w:val="24"/>
        </w:rPr>
        <w:t xml:space="preserve"> and </w:t>
      </w:r>
      <w:r>
        <w:rPr>
          <w:rFonts w:ascii="Times New Roman" w:cs="Times New Roman" w:eastAsia="Times New Roman" w:hAnsi="Times New Roman"/>
          <w:b/>
          <w:bCs/>
          <w:i w:val="false"/>
          <w:iCs w:val="false"/>
          <w:color w:val="000000"/>
          <w:sz w:val="24"/>
          <w:szCs w:val="24"/>
        </w:rPr>
        <w:t xml:space="preserve">RSA 304-C:47</w:t>
      </w:r>
      <w:r>
        <w:rPr>
          <w:rFonts w:ascii="Times New Roman" w:cs="Times New Roman" w:eastAsia="Times New Roman" w:hAnsi="Times New Roman"/>
          <w:b w:val="false"/>
          <w:bCs w:val="false"/>
          <w:i w:val="false"/>
          <w:iCs w:val="false"/>
          <w:color w:val="000000"/>
          <w:sz w:val="24"/>
          <w:szCs w:val="24"/>
        </w:rPr>
        <w:t xml:space="preserve">). The Sole Member is an agent of the Company for its business and internal affairs.</w:t>
      </w:r>
    </w:p>
    <w:p>
      <w:pPr>
        <w:spacing w:after="60" w:before="120" w:line="276" w:lineRule="auto"/>
      </w:pPr>
      <w:r>
        <w:rPr>
          <w:rFonts w:ascii="Times New Roman" w:cs="Times New Roman" w:eastAsia="Times New Roman" w:hAnsi="Times New Roman"/>
          <w:b/>
          <w:bCs/>
          <w:color w:val="000000"/>
          <w:sz w:val="24"/>
          <w:szCs w:val="24"/>
        </w:rPr>
        <w:t xml:space="preserve">5.02  Single-Member Agreement — Express Validity.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RSA 304-C:43</w:t>
      </w:r>
      <w:r>
        <w:rPr>
          <w:rFonts w:ascii="Times New Roman" w:cs="Times New Roman" w:eastAsia="Times New Roman" w:hAnsi="Times New Roman"/>
          <w:b w:val="false"/>
          <w:bCs w:val="false"/>
          <w:i w:val="false"/>
          <w:iCs w:val="false"/>
          <w:color w:val="000000"/>
          <w:sz w:val="24"/>
          <w:szCs w:val="24"/>
        </w:rPr>
        <w:t xml:space="preserve">, this Agreement is not unenforceable merely because only one person is a party to it. Under </w:t>
      </w:r>
      <w:r>
        <w:rPr>
          <w:rFonts w:ascii="Times New Roman" w:cs="Times New Roman" w:eastAsia="Times New Roman" w:hAnsi="Times New Roman"/>
          <w:b/>
          <w:bCs/>
          <w:i w:val="false"/>
          <w:iCs w:val="false"/>
          <w:color w:val="000000"/>
          <w:sz w:val="24"/>
          <w:szCs w:val="24"/>
        </w:rPr>
        <w:t xml:space="preserve">RSA 304-C:42</w:t>
      </w:r>
      <w:r>
        <w:rPr>
          <w:rFonts w:ascii="Times New Roman" w:cs="Times New Roman" w:eastAsia="Times New Roman" w:hAnsi="Times New Roman"/>
          <w:b w:val="false"/>
          <w:bCs w:val="false"/>
          <w:i w:val="false"/>
          <w:iCs w:val="false"/>
          <w:color w:val="000000"/>
          <w:sz w:val="24"/>
          <w:szCs w:val="24"/>
        </w:rPr>
        <w:t xml:space="preserve">, the LLC is bound by this Agreement even without separate LLC assent. This written Agreement reinforces the Sole Member's liability shield and proves the LLC's separate legal existence.</w:t>
      </w:r>
    </w:p>
    <w:p>
      <w:pPr>
        <w:spacing w:after="60" w:before="120" w:line="276" w:lineRule="auto"/>
      </w:pPr>
      <w:r>
        <w:rPr>
          <w:rFonts w:ascii="Times New Roman" w:cs="Times New Roman" w:eastAsia="Times New Roman" w:hAnsi="Times New Roman"/>
          <w:b/>
          <w:bCs/>
          <w:color w:val="000000"/>
          <w:sz w:val="24"/>
          <w:szCs w:val="24"/>
        </w:rPr>
        <w:t xml:space="preserve">5.03  Single-Member Charging Order Warning.</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RSA 304-C:126</w:t>
      </w:r>
      <w:r>
        <w:rPr>
          <w:rFonts w:ascii="Times New Roman" w:cs="Times New Roman" w:eastAsia="Times New Roman" w:hAnsi="Times New Roman"/>
          <w:b w:val="false"/>
          <w:bCs w:val="false"/>
          <w:i w:val="false"/>
          <w:iCs w:val="false"/>
          <w:color w:val="000000"/>
          <w:sz w:val="24"/>
          <w:szCs w:val="24"/>
        </w:rPr>
        <w:t xml:space="preserve">, if a charging order against the Sole Member's Transferable Interest will not satisfy a judgment within a reasonable time, a court may allow </w:t>
      </w:r>
      <w:r>
        <w:rPr>
          <w:rFonts w:ascii="Times New Roman" w:cs="Times New Roman" w:eastAsia="Times New Roman" w:hAnsi="Times New Roman"/>
          <w:b/>
          <w:bCs/>
          <w:i w:val="false"/>
          <w:iCs w:val="false"/>
          <w:color w:val="000000"/>
          <w:sz w:val="24"/>
          <w:szCs w:val="24"/>
        </w:rPr>
        <w:t xml:space="preserve">additional remedies</w:t>
      </w:r>
      <w:r>
        <w:rPr>
          <w:rFonts w:ascii="Times New Roman" w:cs="Times New Roman" w:eastAsia="Times New Roman" w:hAnsi="Times New Roman"/>
          <w:b w:val="false"/>
          <w:bCs w:val="false"/>
          <w:i w:val="false"/>
          <w:iCs w:val="false"/>
          <w:color w:val="000000"/>
          <w:sz w:val="24"/>
          <w:szCs w:val="24"/>
        </w:rPr>
        <w:t xml:space="preserve"> against the Transferable Interest. </w:t>
      </w:r>
      <w:r>
        <w:rPr>
          <w:rFonts w:ascii="Times New Roman" w:cs="Times New Roman" w:eastAsia="Times New Roman" w:hAnsi="Times New Roman"/>
          <w:b/>
          <w:bCs/>
          <w:i w:val="false"/>
          <w:iCs w:val="false"/>
          <w:color w:val="000000"/>
          <w:sz w:val="24"/>
          <w:szCs w:val="24"/>
        </w:rPr>
        <w:t xml:space="preserve">Single-member charging-order protection is weaker than multi-member protection.</w:t>
      </w:r>
    </w:p>
    <w:p>
      <w:pPr>
        <w:spacing w:after="60" w:before="120" w:line="276" w:lineRule="auto"/>
      </w:pPr>
      <w:r>
        <w:rPr>
          <w:rFonts w:ascii="Times New Roman" w:cs="Times New Roman" w:eastAsia="Times New Roman" w:hAnsi="Times New Roman"/>
          <w:b/>
          <w:bCs/>
          <w:color w:val="000000"/>
          <w:sz w:val="24"/>
          <w:szCs w:val="24"/>
        </w:rPr>
        <w:t xml:space="preserve">5.04  Single-Member Continuity.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RSA 304-C:131</w:t>
      </w:r>
      <w:r>
        <w:rPr>
          <w:rFonts w:ascii="Times New Roman" w:cs="Times New Roman" w:eastAsia="Times New Roman" w:hAnsi="Times New Roman"/>
          <w:b w:val="false"/>
          <w:bCs w:val="false"/>
          <w:i w:val="false"/>
          <w:iCs w:val="false"/>
          <w:color w:val="000000"/>
          <w:sz w:val="24"/>
          <w:szCs w:val="24"/>
        </w:rPr>
        <w:t xml:space="preserve">, the LLC is not automatically dissolved upon the Sole Member's death if a legal representative acts within 90 days or this Agreement provides for continuation. Successor / continuation procedure: </w:t>
      </w:r>
      <w:r>
        <w:rPr>
          <w:rFonts w:ascii="Times New Roman" w:cs="Times New Roman" w:eastAsia="Times New Roman" w:hAnsi="Times New Roman"/>
          <w:b/>
          <w:bCs/>
          <w:color w:val="990000"/>
          <w:sz w:val="24"/>
          <w:szCs w:val="24"/>
        </w:rPr>
        <w:t xml:space="preserve">[Designate successor member or continuation procedure]</w:t>
      </w:r>
    </w:p>
    <w:p>
      <w:pPr>
        <w:spacing w:after="60" w:before="120" w:line="276" w:lineRule="auto"/>
      </w:pPr>
      <w:r>
        <w:rPr>
          <w:rFonts w:ascii="Times New Roman" w:cs="Times New Roman" w:eastAsia="Times New Roman" w:hAnsi="Times New Roman"/>
          <w:b/>
          <w:bCs/>
          <w:color w:val="000000"/>
          <w:sz w:val="24"/>
          <w:szCs w:val="24"/>
        </w:rPr>
        <w:t xml:space="preserve">5.05  Withdrawal.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RSA 304-C:103</w:t>
      </w:r>
      <w:r>
        <w:rPr>
          <w:rFonts w:ascii="Times New Roman" w:cs="Times New Roman" w:eastAsia="Times New Roman" w:hAnsi="Times New Roman"/>
          <w:b w:val="false"/>
          <w:bCs w:val="false"/>
          <w:i w:val="false"/>
          <w:iCs w:val="false"/>
          <w:color w:val="000000"/>
          <w:sz w:val="24"/>
          <w:szCs w:val="24"/>
        </w:rPr>
        <w:t xml:space="preserve">, the Sole Member may withdraw on 30 days' written notice unless this Agreement provides otherwise. Per </w:t>
      </w:r>
      <w:r>
        <w:rPr>
          <w:rFonts w:ascii="Times New Roman" w:cs="Times New Roman" w:eastAsia="Times New Roman" w:hAnsi="Times New Roman"/>
          <w:b w:val="false"/>
          <w:bCs w:val="false"/>
          <w:i/>
          <w:iCs/>
          <w:color w:val="000000"/>
          <w:sz w:val="24"/>
          <w:szCs w:val="24"/>
        </w:rPr>
        <w:t xml:space="preserve">Peregrine Interests, LLC v. Todd, 174 N.H. 879 (2025)</w:t>
      </w:r>
      <w:r>
        <w:rPr>
          <w:rFonts w:ascii="Times New Roman" w:cs="Times New Roman" w:eastAsia="Times New Roman" w:hAnsi="Times New Roman"/>
          <w:b w:val="false"/>
          <w:bCs w:val="false"/>
          <w:i w:val="false"/>
          <w:iCs w:val="false"/>
          <w:color w:val="000000"/>
          <w:sz w:val="24"/>
          <w:szCs w:val="24"/>
        </w:rPr>
        <w:t xml:space="preserve">, transfer restrictions do not automatically restrict withdrawal.</w:t>
      </w:r>
    </w:p>
    <w:p>
      <w:pPr>
        <w:spacing w:after="60" w:before="120" w:line="276" w:lineRule="auto"/>
      </w:pPr>
      <w:r>
        <w:rPr>
          <w:rFonts w:ascii="Times New Roman" w:cs="Times New Roman" w:eastAsia="Times New Roman" w:hAnsi="Times New Roman"/>
          <w:b/>
          <w:bCs/>
          <w:color w:val="000000"/>
          <w:sz w:val="24"/>
          <w:szCs w:val="24"/>
        </w:rPr>
        <w:t xml:space="preserve">5.06  Good Faith and Fair Dealing.</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implied contractual covenant of good faith and fair dealing (</w:t>
      </w:r>
      <w:r>
        <w:rPr>
          <w:rFonts w:ascii="Times New Roman" w:cs="Times New Roman" w:eastAsia="Times New Roman" w:hAnsi="Times New Roman"/>
          <w:b/>
          <w:bCs/>
          <w:i w:val="false"/>
          <w:iCs w:val="false"/>
          <w:color w:val="000000"/>
          <w:sz w:val="24"/>
          <w:szCs w:val="24"/>
        </w:rPr>
        <w:t xml:space="preserve">RSA 304-C:111</w:t>
      </w:r>
      <w:r>
        <w:rPr>
          <w:rFonts w:ascii="Times New Roman" w:cs="Times New Roman" w:eastAsia="Times New Roman" w:hAnsi="Times New Roman"/>
          <w:b w:val="false"/>
          <w:bCs w:val="false"/>
          <w:i w:val="false"/>
          <w:iCs w:val="false"/>
          <w:color w:val="000000"/>
          <w:sz w:val="24"/>
          <w:szCs w:val="24"/>
        </w:rPr>
        <w:t xml:space="preserve">) cannot be eliminated by this Agreement.</w:t>
      </w:r>
    </w:p>
    <w:p>
      <w:pPr>
        <w:spacing w:after="60" w:before="120" w:line="276" w:lineRule="auto"/>
      </w:pPr>
      <w:r>
        <w:rPr>
          <w:rFonts w:ascii="Times New Roman" w:cs="Times New Roman" w:eastAsia="Times New Roman" w:hAnsi="Times New Roman"/>
          <w:b/>
          <w:bCs/>
          <w:color w:val="000000"/>
          <w:sz w:val="24"/>
          <w:szCs w:val="24"/>
        </w:rPr>
        <w:t xml:space="preserve">5.07  Dispute Resolution.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RSA 304-C:186</w:t>
      </w:r>
      <w:r>
        <w:rPr>
          <w:rFonts w:ascii="Times New Roman" w:cs="Times New Roman" w:eastAsia="Times New Roman" w:hAnsi="Times New Roman"/>
          <w:b w:val="false"/>
          <w:bCs w:val="false"/>
          <w:i w:val="false"/>
          <w:iCs w:val="false"/>
          <w:color w:val="000000"/>
          <w:sz w:val="24"/>
          <w:szCs w:val="24"/>
        </w:rPr>
        <w:t xml:space="preserve">, disputes default to New Hampshire courts. Forum elected: </w:t>
      </w:r>
      <w:r>
        <w:rPr>
          <w:rFonts w:ascii="Times New Roman" w:cs="Times New Roman" w:eastAsia="Times New Roman" w:hAnsi="Times New Roman"/>
          <w:b/>
          <w:bCs/>
          <w:color w:val="990000"/>
          <w:sz w:val="24"/>
          <w:szCs w:val="24"/>
        </w:rPr>
        <w:t xml:space="preserve">[New Hampshire courts (default) / arbitration / specify]</w:t>
      </w:r>
    </w:p>
    <w:p>
      <w:pPr>
        <w:spacing w:after="100" w:before="200" w:line="276" w:lineRule="auto"/>
        <w:jc w:val="center"/>
      </w:pPr>
      <w:r>
        <w:rPr>
          <w:rFonts w:ascii="Times New Roman" w:cs="Times New Roman" w:eastAsia="Times New Roman" w:hAnsi="Times New Roman"/>
          <w:b/>
          <w:bCs/>
          <w:color w:val="000000"/>
          <w:sz w:val="28"/>
          <w:szCs w:val="28"/>
        </w:rPr>
        <w:t xml:space="preserve">ARTICLE VI
TRANSFER OF MEMBERSHIP INTERESTS</w:t>
      </w:r>
    </w:p>
    <w:p>
      <w:pPr>
        <w:spacing w:after="60" w:before="120" w:line="276" w:lineRule="auto"/>
      </w:pPr>
      <w:r>
        <w:rPr>
          <w:rFonts w:ascii="Times New Roman" w:cs="Times New Roman" w:eastAsia="Times New Roman" w:hAnsi="Times New Roman"/>
          <w:b/>
          <w:bCs/>
          <w:color w:val="000000"/>
          <w:sz w:val="24"/>
          <w:szCs w:val="24"/>
        </w:rPr>
        <w:t xml:space="preserve">VI.01  Transferable Interest — Economic Rights Only.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RSA 304-C:124</w:t>
      </w:r>
      <w:r>
        <w:rPr>
          <w:rFonts w:ascii="Times New Roman" w:cs="Times New Roman" w:eastAsia="Times New Roman" w:hAnsi="Times New Roman"/>
          <w:b w:val="false"/>
          <w:bCs w:val="false"/>
          <w:i w:val="false"/>
          <w:iCs w:val="false"/>
          <w:color w:val="000000"/>
          <w:sz w:val="24"/>
          <w:szCs w:val="24"/>
        </w:rPr>
        <w:t xml:space="preserve">, a transferee does NOT automatically become a Member. Unless this Agreement changes the rule, a transferee becomes a Member only upon </w:t>
      </w:r>
      <w:r>
        <w:rPr>
          <w:rFonts w:ascii="Times New Roman" w:cs="Times New Roman" w:eastAsia="Times New Roman" w:hAnsi="Times New Roman"/>
          <w:b/>
          <w:bCs/>
          <w:i w:val="false"/>
          <w:iCs w:val="false"/>
          <w:color w:val="000000"/>
          <w:sz w:val="24"/>
          <w:szCs w:val="24"/>
        </w:rPr>
        <w:t xml:space="preserve">unanimous vote of all other Members</w:t>
      </w:r>
      <w:r>
        <w:rPr>
          <w:rFonts w:ascii="Times New Roman" w:cs="Times New Roman" w:eastAsia="Times New Roman" w:hAnsi="Times New Roman"/>
          <w:b w:val="false"/>
          <w:bCs w:val="false"/>
          <w:i w:val="false"/>
          <w:iCs w:val="false"/>
          <w:color w:val="000000"/>
          <w:sz w:val="24"/>
          <w:szCs w:val="24"/>
        </w:rPr>
        <w:t xml:space="preserve">. The transferee receives only economic rights (distributions) unless admitted as a Member.</w:t>
      </w:r>
    </w:p>
    <w:p>
      <w:pPr>
        <w:spacing w:after="60" w:before="120" w:line="276" w:lineRule="auto"/>
      </w:pPr>
      <w:r>
        <w:rPr>
          <w:rFonts w:ascii="Times New Roman" w:cs="Times New Roman" w:eastAsia="Times New Roman" w:hAnsi="Times New Roman"/>
          <w:b/>
          <w:bCs/>
          <w:color w:val="000000"/>
          <w:sz w:val="24"/>
          <w:szCs w:val="24"/>
        </w:rPr>
        <w:t xml:space="preserve">VI.02  Charging Order Protection.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For a </w:t>
      </w:r>
      <w:r>
        <w:rPr>
          <w:rFonts w:ascii="Times New Roman" w:cs="Times New Roman" w:eastAsia="Times New Roman" w:hAnsi="Times New Roman"/>
          <w:b/>
          <w:bCs/>
          <w:i w:val="false"/>
          <w:iCs w:val="false"/>
          <w:color w:val="000000"/>
          <w:sz w:val="24"/>
          <w:szCs w:val="24"/>
        </w:rPr>
        <w:t xml:space="preserve">multi-member LLC</w:t>
      </w:r>
      <w:r>
        <w:rPr>
          <w:rFonts w:ascii="Times New Roman" w:cs="Times New Roman" w:eastAsia="Times New Roman" w:hAnsi="Times New Roman"/>
          <w:b w:val="false"/>
          <w:bCs w:val="false"/>
          <w:i w:val="false"/>
          <w:iCs w:val="false"/>
          <w:color w:val="000000"/>
          <w:sz w:val="24"/>
          <w:szCs w:val="24"/>
        </w:rPr>
        <w:t xml:space="preserve">: the charging order is the </w:t>
      </w:r>
      <w:r>
        <w:rPr>
          <w:rFonts w:ascii="Times New Roman" w:cs="Times New Roman" w:eastAsia="Times New Roman" w:hAnsi="Times New Roman"/>
          <w:b/>
          <w:bCs/>
          <w:i w:val="false"/>
          <w:iCs w:val="false"/>
          <w:color w:val="000000"/>
          <w:sz w:val="24"/>
          <w:szCs w:val="24"/>
        </w:rPr>
        <w:t xml:space="preserve">sole and exclusive remedy</w:t>
      </w:r>
      <w:r>
        <w:rPr>
          <w:rFonts w:ascii="Times New Roman" w:cs="Times New Roman" w:eastAsia="Times New Roman" w:hAnsi="Times New Roman"/>
          <w:b w:val="false"/>
          <w:bCs w:val="false"/>
          <w:i w:val="false"/>
          <w:iCs w:val="false"/>
          <w:color w:val="000000"/>
          <w:sz w:val="24"/>
          <w:szCs w:val="24"/>
        </w:rPr>
        <w:t xml:space="preserve"> against a member's Transferable Interest (</w:t>
      </w:r>
      <w:r>
        <w:rPr>
          <w:rFonts w:ascii="Times New Roman" w:cs="Times New Roman" w:eastAsia="Times New Roman" w:hAnsi="Times New Roman"/>
          <w:b/>
          <w:bCs/>
          <w:i w:val="false"/>
          <w:iCs w:val="false"/>
          <w:color w:val="000000"/>
          <w:sz w:val="24"/>
          <w:szCs w:val="24"/>
        </w:rPr>
        <w:t xml:space="preserve">RSA 304-C:126</w:t>
      </w:r>
      <w:r>
        <w:rPr>
          <w:rFonts w:ascii="Times New Roman" w:cs="Times New Roman" w:eastAsia="Times New Roman" w:hAnsi="Times New Roman"/>
          <w:b w:val="false"/>
          <w:bCs w:val="false"/>
          <w:i w:val="false"/>
          <w:iCs w:val="false"/>
          <w:color w:val="000000"/>
          <w:sz w:val="24"/>
          <w:szCs w:val="24"/>
        </w:rPr>
        <w:t xml:space="preserve">). A creditor can intercept distributions but cannot seize membership interests or force liquidation.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For a </w:t>
      </w:r>
      <w:r>
        <w:rPr>
          <w:rFonts w:ascii="Times New Roman" w:cs="Times New Roman" w:eastAsia="Times New Roman" w:hAnsi="Times New Roman"/>
          <w:b/>
          <w:bCs/>
          <w:i w:val="false"/>
          <w:iCs w:val="false"/>
          <w:color w:val="000000"/>
          <w:sz w:val="24"/>
          <w:szCs w:val="24"/>
        </w:rPr>
        <w:t xml:space="preserve">single-member LLC</w:t>
      </w:r>
      <w:r>
        <w:rPr>
          <w:rFonts w:ascii="Times New Roman" w:cs="Times New Roman" w:eastAsia="Times New Roman" w:hAnsi="Times New Roman"/>
          <w:b w:val="false"/>
          <w:bCs w:val="false"/>
          <w:i w:val="false"/>
          <w:iCs w:val="false"/>
          <w:color w:val="000000"/>
          <w:sz w:val="24"/>
          <w:szCs w:val="24"/>
        </w:rPr>
        <w:t xml:space="preserve">: if a charging order will not satisfy the judgment within a reasonable time, the court may allow </w:t>
      </w:r>
      <w:r>
        <w:rPr>
          <w:rFonts w:ascii="Times New Roman" w:cs="Times New Roman" w:eastAsia="Times New Roman" w:hAnsi="Times New Roman"/>
          <w:b/>
          <w:bCs/>
          <w:i w:val="false"/>
          <w:iCs w:val="false"/>
          <w:color w:val="000000"/>
          <w:sz w:val="24"/>
          <w:szCs w:val="24"/>
        </w:rPr>
        <w:t xml:space="preserve">additional remedies</w:t>
      </w:r>
      <w:r>
        <w:rPr>
          <w:rFonts w:ascii="Times New Roman" w:cs="Times New Roman" w:eastAsia="Times New Roman" w:hAnsi="Times New Roman"/>
          <w:b w:val="false"/>
          <w:bCs w:val="false"/>
          <w:i w:val="false"/>
          <w:iCs w:val="false"/>
          <w:color w:val="000000"/>
          <w:sz w:val="24"/>
          <w:szCs w:val="24"/>
        </w:rPr>
        <w:t xml:space="preserve"> against the Transferable Interest (RSA 304-C:126). </w:t>
      </w:r>
      <w:r>
        <w:rPr>
          <w:rFonts w:ascii="Times New Roman" w:cs="Times New Roman" w:eastAsia="Times New Roman" w:hAnsi="Times New Roman"/>
          <w:b/>
          <w:bCs/>
          <w:i w:val="false"/>
          <w:iCs w:val="false"/>
          <w:color w:val="000000"/>
          <w:sz w:val="24"/>
          <w:szCs w:val="24"/>
        </w:rPr>
        <w:t xml:space="preserve">Single-member charging-order protection is weaker than multi-member protection.</w:t>
      </w:r>
    </w:p>
    <w:p>
      <w:pPr>
        <w:spacing w:after="60" w:before="120" w:line="276" w:lineRule="auto"/>
      </w:pPr>
      <w:r>
        <w:rPr>
          <w:rFonts w:ascii="Times New Roman" w:cs="Times New Roman" w:eastAsia="Times New Roman" w:hAnsi="Times New Roman"/>
          <w:b/>
          <w:bCs/>
          <w:color w:val="000000"/>
          <w:sz w:val="24"/>
          <w:szCs w:val="24"/>
        </w:rPr>
        <w:t xml:space="preserve">VI.03  Transfer Restrictions.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Transfer restrictions: </w:t>
      </w:r>
      <w:r>
        <w:rPr>
          <w:rFonts w:ascii="Times New Roman" w:cs="Times New Roman" w:eastAsia="Times New Roman" w:hAnsi="Times New Roman"/>
          <w:b/>
          <w:bCs/>
          <w:color w:val="990000"/>
          <w:sz w:val="24"/>
          <w:szCs w:val="24"/>
        </w:rPr>
        <w:t xml:space="preserve">[Right of first refusal / consent required / other]</w:t>
      </w:r>
    </w:p>
    <w:p>
      <w:pPr>
        <w:spacing w:after="60" w:before="120" w:line="276" w:lineRule="auto"/>
      </w:pPr>
      <w:r>
        <w:rPr>
          <w:rFonts w:ascii="Times New Roman" w:cs="Times New Roman" w:eastAsia="Times New Roman" w:hAnsi="Times New Roman"/>
          <w:b/>
          <w:bCs/>
          <w:color w:val="000000"/>
          <w:sz w:val="24"/>
          <w:szCs w:val="24"/>
        </w:rPr>
        <w:t xml:space="preserve">VI.04  Right of First Refusal.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Before transferring any Membership Interest to a third party, the transferring Member shall first offer it pro-rata to remaining Members. Remaining Members shall have </w:t>
      </w:r>
      <w:r>
        <w:rPr>
          <w:rFonts w:ascii="Times New Roman" w:cs="Times New Roman" w:eastAsia="Times New Roman" w:hAnsi="Times New Roman"/>
          <w:b/>
          <w:bCs/>
          <w:color w:val="990000"/>
          <w:sz w:val="24"/>
          <w:szCs w:val="24"/>
        </w:rPr>
        <w:t xml:space="preserve">[30 / 45 / 60]</w:t>
      </w:r>
      <w:r>
        <w:rPr>
          <w:rFonts w:ascii="Times New Roman" w:cs="Times New Roman" w:eastAsia="Times New Roman" w:hAnsi="Times New Roman"/>
          <w:b w:val="false"/>
          <w:bCs w:val="false"/>
          <w:i w:val="false"/>
          <w:iCs w:val="false"/>
          <w:color w:val="000000"/>
          <w:sz w:val="24"/>
          <w:szCs w:val="24"/>
        </w:rPr>
        <w:t xml:space="preserve"> days to exercise.</w:t>
      </w:r>
    </w:p>
    <w:p>
      <w:pPr>
        <w:spacing w:after="60" w:before="120" w:line="276" w:lineRule="auto"/>
      </w:pPr>
      <w:r>
        <w:rPr>
          <w:rFonts w:ascii="Times New Roman" w:cs="Times New Roman" w:eastAsia="Times New Roman" w:hAnsi="Times New Roman"/>
          <w:b/>
          <w:bCs/>
          <w:color w:val="000000"/>
          <w:sz w:val="24"/>
          <w:szCs w:val="24"/>
        </w:rPr>
        <w:t xml:space="preserve">VI.05  Withdrawal Separate from Transfer.</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Per </w:t>
      </w:r>
      <w:r>
        <w:rPr>
          <w:rFonts w:ascii="Times New Roman" w:cs="Times New Roman" w:eastAsia="Times New Roman" w:hAnsi="Times New Roman"/>
          <w:b w:val="false"/>
          <w:bCs w:val="false"/>
          <w:i/>
          <w:iCs/>
          <w:color w:val="000000"/>
          <w:sz w:val="24"/>
          <w:szCs w:val="24"/>
        </w:rPr>
        <w:t xml:space="preserve">Peregrine Interests, LLC v. Todd, 174 N.H. 879 (2025)</w:t>
      </w:r>
      <w:r>
        <w:rPr>
          <w:rFonts w:ascii="Times New Roman" w:cs="Times New Roman" w:eastAsia="Times New Roman" w:hAnsi="Times New Roman"/>
          <w:b w:val="false"/>
          <w:bCs w:val="false"/>
          <w:i w:val="false"/>
          <w:iCs w:val="false"/>
          <w:color w:val="000000"/>
          <w:sz w:val="24"/>
          <w:szCs w:val="24"/>
        </w:rPr>
        <w:t xml:space="preserve">, transfer restrictions do NOT automatically restrict member withdrawal. Withdrawal and transfer are separate legal events. See the Management Article for withdrawal provisions.</w:t>
      </w:r>
    </w:p>
    <w:p>
      <w:pPr>
        <w:spacing w:after="100" w:before="200" w:line="276" w:lineRule="auto"/>
        <w:jc w:val="center"/>
      </w:pPr>
      <w:r>
        <w:rPr>
          <w:rFonts w:ascii="Times New Roman" w:cs="Times New Roman" w:eastAsia="Times New Roman" w:hAnsi="Times New Roman"/>
          <w:b/>
          <w:bCs/>
          <w:color w:val="000000"/>
          <w:sz w:val="28"/>
          <w:szCs w:val="28"/>
        </w:rPr>
        <w:t xml:space="preserve">ARTICLE VII
BOOKS, RECORDS, AND TAX MATTERS</w:t>
      </w:r>
    </w:p>
    <w:p>
      <w:pPr>
        <w:spacing w:after="60" w:before="120" w:line="276" w:lineRule="auto"/>
      </w:pPr>
      <w:r>
        <w:rPr>
          <w:rFonts w:ascii="Times New Roman" w:cs="Times New Roman" w:eastAsia="Times New Roman" w:hAnsi="Times New Roman"/>
          <w:b/>
          <w:bCs/>
          <w:color w:val="000000"/>
          <w:sz w:val="24"/>
          <w:szCs w:val="24"/>
        </w:rPr>
        <w:t xml:space="preserve">VII.01  Books and Records.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maintain: (a) Certificate of Formation and all amendments; (b) this written Operating Agreement and all amendments; (c) a current member list with addresses; (d) federal, state, and local tax returns for the three most recent fiscal years.</w:t>
      </w:r>
    </w:p>
    <w:p>
      <w:pPr>
        <w:spacing w:after="60" w:before="120" w:line="276" w:lineRule="auto"/>
      </w:pPr>
      <w:r>
        <w:rPr>
          <w:rFonts w:ascii="Times New Roman" w:cs="Times New Roman" w:eastAsia="Times New Roman" w:hAnsi="Times New Roman"/>
          <w:b/>
          <w:bCs/>
          <w:color w:val="000000"/>
          <w:sz w:val="24"/>
          <w:szCs w:val="24"/>
        </w:rPr>
        <w:t xml:space="preserve">VII.02  Fiscal Year and Accounting Method.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Fiscal year ends December 31. Accounting method: </w:t>
      </w:r>
      <w:r>
        <w:rPr>
          <w:rFonts w:ascii="Times New Roman" w:cs="Times New Roman" w:eastAsia="Times New Roman" w:hAnsi="Times New Roman"/>
          <w:b/>
          <w:bCs/>
          <w:color w:val="990000"/>
          <w:sz w:val="24"/>
          <w:szCs w:val="24"/>
        </w:rPr>
        <w:t xml:space="preserve">[cash / accrual]</w:t>
      </w:r>
    </w:p>
    <w:p>
      <w:pPr>
        <w:spacing w:after="60" w:before="120" w:line="276" w:lineRule="auto"/>
      </w:pPr>
      <w:r>
        <w:rPr>
          <w:rFonts w:ascii="Times New Roman" w:cs="Times New Roman" w:eastAsia="Times New Roman" w:hAnsi="Times New Roman"/>
          <w:b/>
          <w:bCs/>
          <w:color w:val="000000"/>
          <w:sz w:val="24"/>
          <w:szCs w:val="24"/>
        </w:rPr>
        <w:t xml:space="preserve">VII.03  Federal Tax Classification.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be classified as a: </w:t>
      </w:r>
      <w:r>
        <w:rPr>
          <w:rFonts w:ascii="Times New Roman" w:cs="Times New Roman" w:eastAsia="Times New Roman" w:hAnsi="Times New Roman"/>
          <w:b/>
          <w:bCs/>
          <w:color w:val="990000"/>
          <w:sz w:val="24"/>
          <w:szCs w:val="24"/>
        </w:rPr>
        <w:t xml:space="preserve">[disregarded entity / partnership / S corp (Form 2553) / C corp (Form 8832)]</w:t>
      </w:r>
    </w:p>
    <w:p>
      <w:pPr>
        <w:spacing w:after="60" w:before="120" w:line="276" w:lineRule="auto"/>
      </w:pPr>
      <w:r>
        <w:rPr>
          <w:rFonts w:ascii="Times New Roman" w:cs="Times New Roman" w:eastAsia="Times New Roman" w:hAnsi="Times New Roman"/>
          <w:b/>
          <w:bCs/>
          <w:color w:val="000000"/>
          <w:sz w:val="24"/>
          <w:szCs w:val="24"/>
        </w:rPr>
        <w:t xml:space="preserve">VII.04  New Hampshire Tax Compliance.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BPT: </w:t>
      </w:r>
      <w:r>
        <w:rPr>
          <w:rFonts w:ascii="Times New Roman" w:cs="Times New Roman" w:eastAsia="Times New Roman" w:hAnsi="Times New Roman"/>
          <w:b/>
          <w:bCs/>
          <w:i w:val="false"/>
          <w:iCs w:val="false"/>
          <w:color w:val="000000"/>
          <w:sz w:val="24"/>
          <w:szCs w:val="24"/>
        </w:rPr>
        <w:t xml:space="preserve">7.5%</w:t>
      </w:r>
      <w:r>
        <w:rPr>
          <w:rFonts w:ascii="Times New Roman" w:cs="Times New Roman" w:eastAsia="Times New Roman" w:hAnsi="Times New Roman"/>
          <w:b w:val="false"/>
          <w:bCs w:val="false"/>
          <w:i w:val="false"/>
          <w:iCs w:val="false"/>
          <w:color w:val="000000"/>
          <w:sz w:val="24"/>
          <w:szCs w:val="24"/>
        </w:rPr>
        <w:t xml:space="preserve"> on income exceeding $50,000. BET: </w:t>
      </w:r>
      <w:r>
        <w:rPr>
          <w:rFonts w:ascii="Times New Roman" w:cs="Times New Roman" w:eastAsia="Times New Roman" w:hAnsi="Times New Roman"/>
          <w:b/>
          <w:bCs/>
          <w:i w:val="false"/>
          <w:iCs w:val="false"/>
          <w:color w:val="000000"/>
          <w:sz w:val="24"/>
          <w:szCs w:val="24"/>
        </w:rPr>
        <w:t xml:space="preserve">0.55%</w:t>
      </w:r>
      <w:r>
        <w:rPr>
          <w:rFonts w:ascii="Times New Roman" w:cs="Times New Roman" w:eastAsia="Times New Roman" w:hAnsi="Times New Roman"/>
          <w:b w:val="false"/>
          <w:bCs w:val="false"/>
          <w:i w:val="false"/>
          <w:iCs w:val="false"/>
          <w:color w:val="000000"/>
          <w:sz w:val="24"/>
          <w:szCs w:val="24"/>
        </w:rPr>
        <w:t xml:space="preserve"> on enterprise value tax base (BET credits against BPT). Partnership filers: NH-1065; returns due 15th day of 3rd month after year-end. Estimated payments: 15th of 4th, 6th, 9th, and 12th months. 7-month extension if 100% paid by original due date. </w:t>
      </w:r>
      <w:r>
        <w:rPr>
          <w:rFonts w:ascii="Times New Roman" w:cs="Times New Roman" w:eastAsia="Times New Roman" w:hAnsi="Times New Roman"/>
          <w:b/>
          <w:bCs/>
          <w:i w:val="false"/>
          <w:iCs w:val="false"/>
          <w:color w:val="000000"/>
          <w:sz w:val="24"/>
          <w:szCs w:val="24"/>
        </w:rPr>
        <w:t xml:space="preserve">Interest and Dividends Tax repealed</w:t>
      </w:r>
      <w:r>
        <w:rPr>
          <w:rFonts w:ascii="Times New Roman" w:cs="Times New Roman" w:eastAsia="Times New Roman" w:hAnsi="Times New Roman"/>
          <w:b w:val="false"/>
          <w:bCs w:val="false"/>
          <w:i w:val="false"/>
          <w:iCs w:val="false"/>
          <w:color w:val="000000"/>
          <w:sz w:val="24"/>
          <w:szCs w:val="24"/>
        </w:rPr>
        <w:t xml:space="preserve"> for periods beginning on or after January 1, 2025. </w:t>
      </w:r>
      <w:r>
        <w:rPr>
          <w:rFonts w:ascii="Times New Roman" w:cs="Times New Roman" w:eastAsia="Times New Roman" w:hAnsi="Times New Roman"/>
          <w:b/>
          <w:bCs/>
          <w:i w:val="false"/>
          <w:iCs w:val="false"/>
          <w:color w:val="000000"/>
          <w:sz w:val="24"/>
          <w:szCs w:val="24"/>
        </w:rPr>
        <w:t xml:space="preserve">No NH LLC franchise tax.</w:t>
      </w:r>
    </w:p>
    <w:p>
      <w:pPr>
        <w:spacing w:after="60" w:before="120" w:line="276" w:lineRule="auto"/>
      </w:pPr>
      <w:r>
        <w:rPr>
          <w:rFonts w:ascii="Times New Roman" w:cs="Times New Roman" w:eastAsia="Times New Roman" w:hAnsi="Times New Roman"/>
          <w:b/>
          <w:bCs/>
          <w:color w:val="000000"/>
          <w:sz w:val="24"/>
          <w:szCs w:val="24"/>
        </w:rPr>
        <w:t xml:space="preserve">VII.05  Tax Matters Representative.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Tax Matters Representative is: </w:t>
      </w:r>
      <w:r>
        <w:rPr>
          <w:rFonts w:ascii="Times New Roman" w:cs="Times New Roman" w:eastAsia="Times New Roman" w:hAnsi="Times New Roman"/>
          <w:b/>
          <w:bCs/>
          <w:color w:val="990000"/>
          <w:sz w:val="24"/>
          <w:szCs w:val="24"/>
        </w:rPr>
        <w:t xml:space="preserve">[Member / Manager Name]</w:t>
      </w:r>
    </w:p>
    <w:p>
      <w:pPr>
        <w:spacing w:after="100" w:before="200" w:line="276" w:lineRule="auto"/>
        <w:jc w:val="center"/>
      </w:pPr>
      <w:r>
        <w:rPr>
          <w:rFonts w:ascii="Times New Roman" w:cs="Times New Roman" w:eastAsia="Times New Roman" w:hAnsi="Times New Roman"/>
          <w:b/>
          <w:bCs/>
          <w:color w:val="000000"/>
          <w:sz w:val="28"/>
          <w:szCs w:val="28"/>
        </w:rPr>
        <w:t xml:space="preserve">ARTICLE VIII
INDEMNIFICATION AND LIABILITY</w:t>
      </w:r>
    </w:p>
    <w:p>
      <w:pPr>
        <w:spacing w:after="60" w:before="120" w:line="276" w:lineRule="auto"/>
      </w:pPr>
      <w:r>
        <w:rPr>
          <w:rFonts w:ascii="Times New Roman" w:cs="Times New Roman" w:eastAsia="Times New Roman" w:hAnsi="Times New Roman"/>
          <w:b/>
          <w:bCs/>
          <w:color w:val="000000"/>
          <w:sz w:val="24"/>
          <w:szCs w:val="24"/>
        </w:rPr>
        <w:t xml:space="preserve">VIII.01  Indemnification.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may indemnify Members, Managers, officers, and agents per </w:t>
      </w:r>
      <w:r>
        <w:rPr>
          <w:rFonts w:ascii="Times New Roman" w:cs="Times New Roman" w:eastAsia="Times New Roman" w:hAnsi="Times New Roman"/>
          <w:b/>
          <w:bCs/>
          <w:i w:val="false"/>
          <w:iCs w:val="false"/>
          <w:color w:val="000000"/>
          <w:sz w:val="24"/>
          <w:szCs w:val="24"/>
        </w:rPr>
        <w:t xml:space="preserve">RSA 304-C:116</w:t>
      </w:r>
      <w:r>
        <w:rPr>
          <w:rFonts w:ascii="Times New Roman" w:cs="Times New Roman" w:eastAsia="Times New Roman" w:hAnsi="Times New Roman"/>
          <w:b w:val="false"/>
          <w:bCs w:val="false"/>
          <w:i w:val="false"/>
          <w:iCs w:val="false"/>
          <w:color w:val="000000"/>
          <w:sz w:val="24"/>
          <w:szCs w:val="24"/>
        </w:rPr>
        <w:t xml:space="preserve">. Indemnification: </w:t>
      </w:r>
      <w:r>
        <w:rPr>
          <w:rFonts w:ascii="Times New Roman" w:cs="Times New Roman" w:eastAsia="Times New Roman" w:hAnsi="Times New Roman"/>
          <w:b/>
          <w:bCs/>
          <w:color w:val="990000"/>
          <w:sz w:val="24"/>
          <w:szCs w:val="24"/>
        </w:rPr>
        <w:t xml:space="preserve">[mandatory / permissive / per RSA 304-C:116]</w:t>
      </w:r>
    </w:p>
    <w:p>
      <w:pPr>
        <w:spacing w:after="60" w:before="120" w:line="276" w:lineRule="auto"/>
      </w:pPr>
      <w:r>
        <w:rPr>
          <w:rFonts w:ascii="Times New Roman" w:cs="Times New Roman" w:eastAsia="Times New Roman" w:hAnsi="Times New Roman"/>
          <w:b/>
          <w:bCs/>
          <w:color w:val="000000"/>
          <w:sz w:val="24"/>
          <w:szCs w:val="24"/>
        </w:rPr>
        <w:t xml:space="preserve">VIII.02  Limitation of Liability.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Members and Managers are not personally liable for the Company's debts solely by reason of their status as Member or Manager.</w:t>
      </w:r>
    </w:p>
    <w:p>
      <w:pPr>
        <w:spacing w:after="60" w:before="120" w:line="276" w:lineRule="auto"/>
      </w:pPr>
      <w:r>
        <w:rPr>
          <w:rFonts w:ascii="Times New Roman" w:cs="Times New Roman" w:eastAsia="Times New Roman" w:hAnsi="Times New Roman"/>
          <w:b/>
          <w:bCs/>
          <w:color w:val="000000"/>
          <w:sz w:val="24"/>
          <w:szCs w:val="24"/>
        </w:rPr>
        <w:t xml:space="preserve">VIII.03  Exculpation.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RSA 304-C:115</w:t>
      </w:r>
      <w:r>
        <w:rPr>
          <w:rFonts w:ascii="Times New Roman" w:cs="Times New Roman" w:eastAsia="Times New Roman" w:hAnsi="Times New Roman"/>
          <w:b w:val="false"/>
          <w:bCs w:val="false"/>
          <w:i w:val="false"/>
          <w:iCs w:val="false"/>
          <w:color w:val="000000"/>
          <w:sz w:val="24"/>
          <w:szCs w:val="24"/>
        </w:rPr>
        <w:t xml:space="preserve">, the operating agreement may limit or eliminate liability for duty breaches, subject to statutory limits. The </w:t>
      </w:r>
      <w:r>
        <w:rPr>
          <w:rFonts w:ascii="Times New Roman" w:cs="Times New Roman" w:eastAsia="Times New Roman" w:hAnsi="Times New Roman"/>
          <w:b/>
          <w:bCs/>
          <w:i w:val="false"/>
          <w:iCs w:val="false"/>
          <w:color w:val="000000"/>
          <w:sz w:val="24"/>
          <w:szCs w:val="24"/>
        </w:rPr>
        <w:t xml:space="preserve">implied contractual covenant of good faith and fair dealing (RSA 304-C:107, RSA 304-C:111)</w:t>
      </w:r>
      <w:r>
        <w:rPr>
          <w:rFonts w:ascii="Times New Roman" w:cs="Times New Roman" w:eastAsia="Times New Roman" w:hAnsi="Times New Roman"/>
          <w:b w:val="false"/>
          <w:bCs w:val="false"/>
          <w:i w:val="false"/>
          <w:iCs w:val="false"/>
          <w:color w:val="000000"/>
          <w:sz w:val="24"/>
          <w:szCs w:val="24"/>
        </w:rPr>
        <w:t xml:space="preserve"> cannot be eliminated by any provision of this Agreement.</w:t>
      </w:r>
    </w:p>
    <w:p>
      <w:pPr>
        <w:spacing w:after="60" w:before="120" w:line="276" w:lineRule="auto"/>
      </w:pPr>
      <w:r>
        <w:rPr>
          <w:rFonts w:ascii="Times New Roman" w:cs="Times New Roman" w:eastAsia="Times New Roman" w:hAnsi="Times New Roman"/>
          <w:b/>
          <w:bCs/>
          <w:color w:val="000000"/>
          <w:sz w:val="24"/>
          <w:szCs w:val="24"/>
        </w:rPr>
        <w:t xml:space="preserve">VIII.04  Insurance.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may purchase and maintain insurance on behalf of any Member, Manager, or agent against liability asserted against them in such capacity.</w:t>
      </w:r>
    </w:p>
    <w:p>
      <w:pPr>
        <w:spacing w:after="100" w:before="200" w:line="276" w:lineRule="auto"/>
        <w:jc w:val="center"/>
      </w:pPr>
      <w:r>
        <w:rPr>
          <w:rFonts w:ascii="Times New Roman" w:cs="Times New Roman" w:eastAsia="Times New Roman" w:hAnsi="Times New Roman"/>
          <w:b/>
          <w:bCs/>
          <w:color w:val="000000"/>
          <w:sz w:val="28"/>
          <w:szCs w:val="28"/>
        </w:rPr>
        <w:t xml:space="preserve">ARTICLE IX
DISSOLUTION AND WINDING UP</w:t>
      </w:r>
    </w:p>
    <w:p>
      <w:pPr>
        <w:spacing w:after="60" w:before="120" w:line="276" w:lineRule="auto"/>
      </w:pPr>
      <w:r>
        <w:rPr>
          <w:rFonts w:ascii="Times New Roman" w:cs="Times New Roman" w:eastAsia="Times New Roman" w:hAnsi="Times New Roman"/>
          <w:b/>
          <w:bCs/>
          <w:color w:val="000000"/>
          <w:sz w:val="24"/>
          <w:szCs w:val="24"/>
        </w:rPr>
        <w:t xml:space="preserve">IX.01  Dissolution Events.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dissolve upon (</w:t>
      </w:r>
      <w:r>
        <w:rPr>
          <w:rFonts w:ascii="Times New Roman" w:cs="Times New Roman" w:eastAsia="Times New Roman" w:hAnsi="Times New Roman"/>
          <w:b/>
          <w:bCs/>
          <w:i w:val="false"/>
          <w:iCs w:val="false"/>
          <w:color w:val="000000"/>
          <w:sz w:val="24"/>
          <w:szCs w:val="24"/>
        </w:rPr>
        <w:t xml:space="preserve">RSA 304-C:129</w:t>
      </w:r>
      <w:r>
        <w:rPr>
          <w:rFonts w:ascii="Times New Roman" w:cs="Times New Roman" w:eastAsia="Times New Roman" w:hAnsi="Times New Roman"/>
          <w:b w:val="false"/>
          <w:bCs w:val="false"/>
          <w:i w:val="false"/>
          <w:iCs w:val="false"/>
          <w:color w:val="000000"/>
          <w:sz w:val="24"/>
          <w:szCs w:val="24"/>
        </w:rPr>
        <w:t xml:space="preserv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An event or date stated in this Agreement or the Certificate of Formation.</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Member action authorized by the Act.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Judicial dissolution under </w:t>
      </w:r>
      <w:r>
        <w:rPr>
          <w:rFonts w:ascii="Times New Roman" w:cs="Times New Roman" w:eastAsia="Times New Roman" w:hAnsi="Times New Roman"/>
          <w:b/>
          <w:bCs/>
          <w:i w:val="false"/>
          <w:iCs w:val="false"/>
          <w:color w:val="000000"/>
          <w:sz w:val="24"/>
          <w:szCs w:val="24"/>
        </w:rPr>
        <w:t xml:space="preserve">RSA 304-C:134</w:t>
      </w:r>
      <w:r>
        <w:rPr>
          <w:rFonts w:ascii="Times New Roman" w:cs="Times New Roman" w:eastAsia="Times New Roman" w:hAnsi="Times New Roman"/>
          <w:b w:val="false"/>
          <w:bCs w:val="false"/>
          <w:i w:val="false"/>
          <w:iCs w:val="false"/>
          <w:color w:val="000000"/>
          <w:sz w:val="24"/>
          <w:szCs w:val="24"/>
        </w:rPr>
        <w:t xml:space="preserv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Administrative dissolution under </w:t>
      </w:r>
      <w:r>
        <w:rPr>
          <w:rFonts w:ascii="Times New Roman" w:cs="Times New Roman" w:eastAsia="Times New Roman" w:hAnsi="Times New Roman"/>
          <w:b/>
          <w:bCs/>
          <w:i w:val="false"/>
          <w:iCs w:val="false"/>
          <w:color w:val="000000"/>
          <w:sz w:val="24"/>
          <w:szCs w:val="24"/>
        </w:rPr>
        <w:t xml:space="preserve">RSA 304-C:136</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IX.02  Single-Member Continuity (RSA 304-C:131).</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RSA 304-C:131</w:t>
      </w:r>
      <w:r>
        <w:rPr>
          <w:rFonts w:ascii="Times New Roman" w:cs="Times New Roman" w:eastAsia="Times New Roman" w:hAnsi="Times New Roman"/>
          <w:b w:val="false"/>
          <w:bCs w:val="false"/>
          <w:i w:val="false"/>
          <w:iCs w:val="false"/>
          <w:color w:val="000000"/>
          <w:sz w:val="24"/>
          <w:szCs w:val="24"/>
        </w:rPr>
        <w:t xml:space="preserve">, a single-member LLC is not automatically dissolved upon the sole member's death if a legal representative acts within </w:t>
      </w:r>
      <w:r>
        <w:rPr>
          <w:rFonts w:ascii="Times New Roman" w:cs="Times New Roman" w:eastAsia="Times New Roman" w:hAnsi="Times New Roman"/>
          <w:b/>
          <w:bCs/>
          <w:i w:val="false"/>
          <w:iCs w:val="false"/>
          <w:color w:val="000000"/>
          <w:sz w:val="24"/>
          <w:szCs w:val="24"/>
        </w:rPr>
        <w:t xml:space="preserve">90 days</w:t>
      </w:r>
      <w:r>
        <w:rPr>
          <w:rFonts w:ascii="Times New Roman" w:cs="Times New Roman" w:eastAsia="Times New Roman" w:hAnsi="Times New Roman"/>
          <w:b w:val="false"/>
          <w:bCs w:val="false"/>
          <w:i w:val="false"/>
          <w:iCs w:val="false"/>
          <w:color w:val="000000"/>
          <w:sz w:val="24"/>
          <w:szCs w:val="24"/>
        </w:rPr>
        <w:t xml:space="preserve"> to continue the business, or the operating agreement provides for continuation. Sole members should designate a successor or continuation procedure: </w:t>
      </w:r>
      <w:r>
        <w:rPr>
          <w:rFonts w:ascii="Times New Roman" w:cs="Times New Roman" w:eastAsia="Times New Roman" w:hAnsi="Times New Roman"/>
          <w:b/>
          <w:bCs/>
          <w:color w:val="990000"/>
          <w:sz w:val="24"/>
          <w:szCs w:val="24"/>
        </w:rPr>
        <w:t xml:space="preserve">[Designate successor member or continuation procedure]</w:t>
      </w:r>
    </w:p>
    <w:p>
      <w:pPr>
        <w:spacing w:after="60" w:before="120" w:line="276" w:lineRule="auto"/>
      </w:pPr>
      <w:r>
        <w:rPr>
          <w:rFonts w:ascii="Times New Roman" w:cs="Times New Roman" w:eastAsia="Times New Roman" w:hAnsi="Times New Roman"/>
          <w:b/>
          <w:bCs/>
          <w:color w:val="000000"/>
          <w:sz w:val="24"/>
          <w:szCs w:val="24"/>
        </w:rPr>
        <w:t xml:space="preserve">IX.03  Certificate and OA Must Be Consistent.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Per </w:t>
      </w:r>
      <w:r>
        <w:rPr>
          <w:rFonts w:ascii="Times New Roman" w:cs="Times New Roman" w:eastAsia="Times New Roman" w:hAnsi="Times New Roman"/>
          <w:b w:val="false"/>
          <w:bCs w:val="false"/>
          <w:i/>
          <w:iCs/>
          <w:color w:val="000000"/>
          <w:sz w:val="24"/>
          <w:szCs w:val="24"/>
        </w:rPr>
        <w:t xml:space="preserve">McDonough v. McDonough, 168 N.H. 171 (2016)</w:t>
      </w:r>
      <w:r>
        <w:rPr>
          <w:rFonts w:ascii="Times New Roman" w:cs="Times New Roman" w:eastAsia="Times New Roman" w:hAnsi="Times New Roman"/>
          <w:b w:val="false"/>
          <w:bCs w:val="false"/>
          <w:i w:val="false"/>
          <w:iCs w:val="false"/>
          <w:color w:val="000000"/>
          <w:sz w:val="24"/>
          <w:szCs w:val="24"/>
        </w:rPr>
        <w:t xml:space="preserve">, ambiguity between the Certificate of Formation and the operating agreement creates litigation risk. Ensure all dissolution and continuity provisions are consistent with the Certificate of Formation.</w:t>
      </w:r>
    </w:p>
    <w:p>
      <w:pPr>
        <w:spacing w:after="60" w:before="120" w:line="276" w:lineRule="auto"/>
      </w:pPr>
      <w:r>
        <w:rPr>
          <w:rFonts w:ascii="Times New Roman" w:cs="Times New Roman" w:eastAsia="Times New Roman" w:hAnsi="Times New Roman"/>
          <w:b/>
          <w:bCs/>
          <w:color w:val="000000"/>
          <w:sz w:val="24"/>
          <w:szCs w:val="24"/>
        </w:rPr>
        <w:t xml:space="preserve">IX.04  Winding Up.</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Upon dissolution: (a) collect and liquidate assets; (b) pay creditors; (c) establish reserves; (d) distribute remaining assets to Members by positive Capital Account balances, then by Ownership Interest percentages.</w:t>
      </w:r>
    </w:p>
    <w:p>
      <w:pPr>
        <w:spacing w:after="60" w:before="120" w:line="276" w:lineRule="auto"/>
      </w:pPr>
      <w:r>
        <w:rPr>
          <w:rFonts w:ascii="Times New Roman" w:cs="Times New Roman" w:eastAsia="Times New Roman" w:hAnsi="Times New Roman"/>
          <w:b/>
          <w:bCs/>
          <w:color w:val="000000"/>
          <w:sz w:val="24"/>
          <w:szCs w:val="24"/>
        </w:rPr>
        <w:t xml:space="preserve">IX.05  Certificate of Cancellation.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Upon completion, file a Certificate of Cancellation with the New Hampshire Secretary of State.</w:t>
      </w:r>
    </w:p>
    <w:p>
      <w:pPr>
        <w:spacing w:after="100" w:before="200" w:line="276" w:lineRule="auto"/>
        <w:jc w:val="center"/>
      </w:pPr>
      <w:r>
        <w:rPr>
          <w:rFonts w:ascii="Times New Roman" w:cs="Times New Roman" w:eastAsia="Times New Roman" w:hAnsi="Times New Roman"/>
          <w:b/>
          <w:bCs/>
          <w:color w:val="000000"/>
          <w:sz w:val="28"/>
          <w:szCs w:val="28"/>
        </w:rPr>
        <w:t xml:space="preserve">ARTICLE X
AMENDMENTS</w:t>
      </w:r>
    </w:p>
    <w:p>
      <w:pPr>
        <w:spacing w:after="60" w:before="120" w:line="276" w:lineRule="auto"/>
      </w:pPr>
      <w:r>
        <w:rPr>
          <w:rFonts w:ascii="Times New Roman" w:cs="Times New Roman" w:eastAsia="Times New Roman" w:hAnsi="Times New Roman"/>
          <w:b/>
          <w:bCs/>
          <w:color w:val="000000"/>
          <w:sz w:val="24"/>
          <w:szCs w:val="24"/>
        </w:rPr>
        <w:t xml:space="preserve">X.01  Amendment Procedure.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RSA 304-C:67</w:t>
      </w:r>
      <w:r>
        <w:rPr>
          <w:rFonts w:ascii="Times New Roman" w:cs="Times New Roman" w:eastAsia="Times New Roman" w:hAnsi="Times New Roman"/>
          <w:b w:val="false"/>
          <w:bCs w:val="false"/>
          <w:i w:val="false"/>
          <w:iCs w:val="false"/>
          <w:color w:val="000000"/>
          <w:sz w:val="24"/>
          <w:szCs w:val="24"/>
        </w:rPr>
        <w:t xml:space="preserve">, amending this Agreement requires unanimous approval by default. Members elect: </w:t>
      </w:r>
      <w:r>
        <w:rPr>
          <w:rFonts w:ascii="Times New Roman" w:cs="Times New Roman" w:eastAsia="Times New Roman" w:hAnsi="Times New Roman"/>
          <w:b/>
          <w:bCs/>
          <w:color w:val="990000"/>
          <w:sz w:val="24"/>
          <w:szCs w:val="24"/>
        </w:rPr>
        <w:t xml:space="preserve">[Unanimous (default) / two-thirds / majority]</w:t>
      </w:r>
    </w:p>
    <w:p>
      <w:pPr>
        <w:spacing w:after="60" w:before="120" w:line="276" w:lineRule="auto"/>
      </w:pPr>
      <w:r>
        <w:rPr>
          <w:rFonts w:ascii="Times New Roman" w:cs="Times New Roman" w:eastAsia="Times New Roman" w:hAnsi="Times New Roman"/>
          <w:b/>
          <w:bCs/>
          <w:color w:val="000000"/>
          <w:sz w:val="24"/>
          <w:szCs w:val="24"/>
        </w:rPr>
        <w:t xml:space="preserve">X.02  Certificate of Formation Amendments.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Any amendment changing the management election or other certificate-level information requires a Certificate of Amendment filed with the </w:t>
      </w:r>
      <w:r>
        <w:rPr>
          <w:rFonts w:ascii="Times New Roman" w:cs="Times New Roman" w:eastAsia="Times New Roman" w:hAnsi="Times New Roman"/>
          <w:b/>
          <w:bCs/>
          <w:i w:val="false"/>
          <w:iCs w:val="false"/>
          <w:color w:val="000000"/>
          <w:sz w:val="24"/>
          <w:szCs w:val="24"/>
        </w:rPr>
        <w:t xml:space="preserve">New Hampshire Secretary of State</w:t>
      </w:r>
      <w:r>
        <w:rPr>
          <w:rFonts w:ascii="Times New Roman" w:cs="Times New Roman" w:eastAsia="Times New Roman" w:hAnsi="Times New Roman"/>
          <w:b w:val="false"/>
          <w:bCs w:val="false"/>
          <w:i w:val="false"/>
          <w:iCs w:val="false"/>
          <w:color w:val="000000"/>
          <w:sz w:val="24"/>
          <w:szCs w:val="24"/>
        </w:rPr>
        <w:t xml:space="preserve">. Under RSA 304-C:67, amending the Certificate requires unanimous approval by default.</w:t>
      </w:r>
    </w:p>
    <w:p>
      <w:pPr>
        <w:spacing w:after="60" w:before="120" w:line="276" w:lineRule="auto"/>
      </w:pPr>
      <w:r>
        <w:rPr>
          <w:rFonts w:ascii="Times New Roman" w:cs="Times New Roman" w:eastAsia="Times New Roman" w:hAnsi="Times New Roman"/>
          <w:b/>
          <w:bCs/>
          <w:color w:val="000000"/>
          <w:sz w:val="24"/>
          <w:szCs w:val="24"/>
        </w:rPr>
        <w:t xml:space="preserve">X.03  Records.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All amendments shall be maintained at the Company's principal office alongside this Agreement.</w:t>
      </w:r>
    </w:p>
    <w:p>
      <w:pPr>
        <w:spacing w:after="100" w:before="200" w:line="276" w:lineRule="auto"/>
        <w:jc w:val="center"/>
      </w:pPr>
      <w:r>
        <w:rPr>
          <w:rFonts w:ascii="Times New Roman" w:cs="Times New Roman" w:eastAsia="Times New Roman" w:hAnsi="Times New Roman"/>
          <w:b/>
          <w:bCs/>
          <w:color w:val="000000"/>
          <w:sz w:val="28"/>
          <w:szCs w:val="28"/>
        </w:rPr>
        <w:t xml:space="preserve">ARTICLE XI
GENERAL PROVISIONS</w:t>
      </w:r>
    </w:p>
    <w:p>
      <w:pPr>
        <w:spacing w:after="60" w:before="120" w:line="276" w:lineRule="auto"/>
      </w:pPr>
      <w:r>
        <w:rPr>
          <w:rFonts w:ascii="Times New Roman" w:cs="Times New Roman" w:eastAsia="Times New Roman" w:hAnsi="Times New Roman"/>
          <w:b/>
          <w:bCs/>
          <w:color w:val="000000"/>
          <w:sz w:val="24"/>
          <w:szCs w:val="24"/>
        </w:rPr>
        <w:t xml:space="preserve">XI.01  Entire Agreement.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and the Certificate of Formation constitute the entire agreement among the Members and supersede all prior negotiations, understandings, and agreements.</w:t>
      </w:r>
    </w:p>
    <w:p>
      <w:pPr>
        <w:spacing w:after="60" w:before="120" w:line="276" w:lineRule="auto"/>
      </w:pPr>
      <w:r>
        <w:rPr>
          <w:rFonts w:ascii="Times New Roman" w:cs="Times New Roman" w:eastAsia="Times New Roman" w:hAnsi="Times New Roman"/>
          <w:b/>
          <w:bCs/>
          <w:color w:val="000000"/>
          <w:sz w:val="24"/>
          <w:szCs w:val="24"/>
        </w:rPr>
        <w:t xml:space="preserve">XI.02  Severability.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If any provision is found invalid or unenforceable, the remaining provisions continue in full force.</w:t>
      </w:r>
    </w:p>
    <w:p>
      <w:pPr>
        <w:spacing w:after="60" w:before="120" w:line="276" w:lineRule="auto"/>
      </w:pPr>
      <w:r>
        <w:rPr>
          <w:rFonts w:ascii="Times New Roman" w:cs="Times New Roman" w:eastAsia="Times New Roman" w:hAnsi="Times New Roman"/>
          <w:b/>
          <w:bCs/>
          <w:color w:val="000000"/>
          <w:sz w:val="24"/>
          <w:szCs w:val="24"/>
        </w:rPr>
        <w:t xml:space="preserve">XI.03  Governing Law.</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shall be governed by the laws of the State of New Hampshire, specifically the New Hampshire Limited Liability Company Act, RSA chapter 304-C.</w:t>
      </w:r>
    </w:p>
    <w:p>
      <w:pPr>
        <w:spacing w:after="60" w:before="120" w:line="276" w:lineRule="auto"/>
      </w:pPr>
      <w:r>
        <w:rPr>
          <w:rFonts w:ascii="Times New Roman" w:cs="Times New Roman" w:eastAsia="Times New Roman" w:hAnsi="Times New Roman"/>
          <w:b/>
          <w:bCs/>
          <w:color w:val="000000"/>
          <w:sz w:val="24"/>
          <w:szCs w:val="24"/>
        </w:rPr>
        <w:t xml:space="preserve">XI.04  Internal Dispute Venue.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RSA 304-C:186</w:t>
      </w:r>
      <w:r>
        <w:rPr>
          <w:rFonts w:ascii="Times New Roman" w:cs="Times New Roman" w:eastAsia="Times New Roman" w:hAnsi="Times New Roman"/>
          <w:b w:val="false"/>
          <w:bCs w:val="false"/>
          <w:i w:val="false"/>
          <w:iCs w:val="false"/>
          <w:color w:val="000000"/>
          <w:sz w:val="24"/>
          <w:szCs w:val="24"/>
        </w:rPr>
        <w:t xml:space="preserve">, disputes over internal affairs default to </w:t>
      </w:r>
      <w:r>
        <w:rPr>
          <w:rFonts w:ascii="Times New Roman" w:cs="Times New Roman" w:eastAsia="Times New Roman" w:hAnsi="Times New Roman"/>
          <w:b/>
          <w:bCs/>
          <w:i w:val="false"/>
          <w:iCs w:val="false"/>
          <w:color w:val="000000"/>
          <w:sz w:val="24"/>
          <w:szCs w:val="24"/>
        </w:rPr>
        <w:t xml:space="preserve">New Hampshire courts</w:t>
      </w:r>
      <w:r>
        <w:rPr>
          <w:rFonts w:ascii="Times New Roman" w:cs="Times New Roman" w:eastAsia="Times New Roman" w:hAnsi="Times New Roman"/>
          <w:b w:val="false"/>
          <w:bCs w:val="false"/>
          <w:i w:val="false"/>
          <w:iCs w:val="false"/>
          <w:color w:val="000000"/>
          <w:sz w:val="24"/>
          <w:szCs w:val="24"/>
        </w:rPr>
        <w:t xml:space="preserve">. Forum elected: </w:t>
      </w:r>
      <w:r>
        <w:rPr>
          <w:rFonts w:ascii="Times New Roman" w:cs="Times New Roman" w:eastAsia="Times New Roman" w:hAnsi="Times New Roman"/>
          <w:b/>
          <w:bCs/>
          <w:color w:val="990000"/>
          <w:sz w:val="24"/>
          <w:szCs w:val="24"/>
        </w:rPr>
        <w:t xml:space="preserve">[New Hampshire courts (default) / arbitration / specify]</w:t>
      </w:r>
    </w:p>
    <w:p>
      <w:pPr>
        <w:spacing w:after="60" w:before="120" w:line="276" w:lineRule="auto"/>
      </w:pPr>
      <w:r>
        <w:rPr>
          <w:rFonts w:ascii="Times New Roman" w:cs="Times New Roman" w:eastAsia="Times New Roman" w:hAnsi="Times New Roman"/>
          <w:b/>
          <w:bCs/>
          <w:color w:val="000000"/>
          <w:sz w:val="24"/>
          <w:szCs w:val="24"/>
        </w:rPr>
        <w:t xml:space="preserve">XI.05  Notices.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All notices shall be in writing and delivered by personal delivery, certified U.S. mail, or e-mail with confirmation.</w:t>
      </w:r>
    </w:p>
    <w:p>
      <w:pPr>
        <w:spacing w:after="60" w:before="120" w:line="276" w:lineRule="auto"/>
      </w:pPr>
      <w:r>
        <w:rPr>
          <w:rFonts w:ascii="Times New Roman" w:cs="Times New Roman" w:eastAsia="Times New Roman" w:hAnsi="Times New Roman"/>
          <w:b/>
          <w:bCs/>
          <w:color w:val="000000"/>
          <w:sz w:val="24"/>
          <w:szCs w:val="24"/>
        </w:rPr>
        <w:t xml:space="preserve">XI.06  Counterparts and Signatures.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may be executed in counterparts, including electronically. New Hampshire does not require notarization; the Agreement is NOT filed with the SOS.</w:t>
      </w:r>
    </w:p>
    <w:p>
      <w:pPr>
        <w:spacing w:after="60" w:before="120" w:line="276" w:lineRule="auto"/>
      </w:pPr>
      <w:r>
        <w:rPr>
          <w:rFonts w:ascii="Times New Roman" w:cs="Times New Roman" w:eastAsia="Times New Roman" w:hAnsi="Times New Roman"/>
          <w:b/>
          <w:bCs/>
          <w:color w:val="000000"/>
          <w:sz w:val="24"/>
          <w:szCs w:val="24"/>
        </w:rPr>
        <w:t xml:space="preserve">XI.07  No Third-Party Beneficiaries.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is for the sole benefit of the Members and the Company.</w:t>
      </w:r>
    </w:p>
    <w:p>
      <w:pPr>
        <w:spacing w:after="60" w:before="120" w:line="276" w:lineRule="auto"/>
      </w:pPr>
      <w:r>
        <w:rPr>
          <w:rFonts w:ascii="Times New Roman" w:cs="Times New Roman" w:eastAsia="Times New Roman" w:hAnsi="Times New Roman"/>
          <w:b/>
          <w:bCs/>
          <w:color w:val="000000"/>
          <w:sz w:val="24"/>
          <w:szCs w:val="24"/>
        </w:rPr>
        <w:t xml:space="preserve">XI.08  Further Assurances.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Member shall execute additional documents and take actions reasonably necessary to carry out the purposes of this Agreement.</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CERTIFICATION OF SOLE MEMBER</w:t>
      </w:r>
    </w:p>
    <w:p>
      <w:pPr>
        <w:pBdr>
          <w:bottom w:val="single" w:color="BBBBBB" w:sz="6" w:space="1"/>
        </w:pBdr>
        <w:spacing w:after="120" w:before="120"/>
      </w:pP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undersigned, being the Sole Member of the Company, hereby adopts this Operating Agreement. RSA 304-C:43 validates this single-member agreement; RSA 304-C:42 binds the LLC without separate LLC assent. This Agreement is NOT filed with the New Hampshire Secretary of State. Annual reports: January 1 – April 1 ($100; $50 late fee).</w:t>
      </w:r>
    </w:p>
    <w:p>
      <w:r>
        <w:br/>
      </w:r>
    </w:p>
    <w:p>
      <w:pPr>
        <w:spacing w:after="80" w:before="0" w:line="276" w:lineRule="auto"/>
      </w:pPr>
      <w:r>
        <w:rPr>
          <w:rFonts w:ascii="Times New Roman" w:cs="Times New Roman" w:eastAsia="Times New Roman" w:hAnsi="Times New Roman"/>
          <w:b/>
          <w:bCs/>
          <w:i w:val="false"/>
          <w:iCs w:val="false"/>
          <w:color w:val="000000"/>
          <w:sz w:val="24"/>
          <w:szCs w:val="24"/>
        </w:rPr>
        <w:t xml:space="preserve">Company Name:  </w:t>
      </w:r>
      <w:r>
        <w:rPr>
          <w:rFonts w:ascii="Times New Roman" w:cs="Times New Roman" w:eastAsia="Times New Roman" w:hAnsi="Times New Roman"/>
          <w:b/>
          <w:bCs/>
          <w:color w:val="990000"/>
          <w:sz w:val="24"/>
          <w:szCs w:val="24"/>
        </w:rPr>
        <w:t xml:space="preserve">[Full legal name matching Certificate of Formation]</w:t>
      </w:r>
    </w:p>
    <w:p>
      <w:pPr>
        <w:spacing w:after="80" w:before="0" w:line="276" w:lineRule="auto"/>
      </w:pPr>
      <w:r>
        <w:rPr>
          <w:rFonts w:ascii="Times New Roman" w:cs="Times New Roman" w:eastAsia="Times New Roman" w:hAnsi="Times New Roman"/>
          <w:b/>
          <w:bCs/>
          <w:i w:val="false"/>
          <w:iCs w:val="false"/>
          <w:color w:val="000000"/>
          <w:sz w:val="24"/>
          <w:szCs w:val="24"/>
        </w:rPr>
        <w:t xml:space="preserve">State:  </w:t>
      </w:r>
      <w:r>
        <w:rPr>
          <w:rFonts w:ascii="Times New Roman" w:cs="Times New Roman" w:eastAsia="Times New Roman" w:hAnsi="Times New Roman"/>
          <w:b w:val="false"/>
          <w:bCs w:val="false"/>
          <w:i w:val="false"/>
          <w:iCs w:val="false"/>
          <w:color w:val="000000"/>
          <w:sz w:val="24"/>
          <w:szCs w:val="24"/>
        </w:rPr>
        <w:t xml:space="preserve">New Hampshire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of Adoption:  </w:t>
      </w:r>
      <w:r>
        <w:rPr>
          <w:rFonts w:ascii="Times New Roman" w:cs="Times New Roman" w:eastAsia="Times New Roman" w:hAnsi="Times New Roman"/>
          <w:b/>
          <w:bCs/>
          <w:color w:val="990000"/>
          <w:sz w:val="24"/>
          <w:szCs w:val="24"/>
        </w:rPr>
        <w:t xml:space="preserve">[MM / DD / YYYY]</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NH ZIP]</w:t>
      </w:r>
    </w:p>
    <w:p>
      <w:r>
        <w:br/>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EXHIBIT 1
CAPITAL CONTRIBUTION AND OWNERSHIP INTEREST</w:t>
      </w:r>
    </w:p>
    <w:p>
      <w:pPr>
        <w:pBdr>
          <w:bottom w:val="single" w:color="BBBBBB" w:sz="6" w:space="1"/>
        </w:pBdr>
        <w:spacing w:after="120" w:before="120"/>
      </w:pPr>
    </w:p>
    <w:p>
      <w:pPr>
        <w:spacing w:after="80" w:before="0" w:line="276" w:lineRule="auto"/>
      </w:pPr>
      <w:r>
        <w:rPr>
          <w:rFonts w:ascii="Times New Roman" w:cs="Times New Roman" w:eastAsia="Times New Roman" w:hAnsi="Times New Roman"/>
          <w:b/>
          <w:bCs/>
          <w:i w:val="false"/>
          <w:iCs w:val="false"/>
          <w:color w:val="000000"/>
          <w:sz w:val="24"/>
          <w:szCs w:val="24"/>
        </w:rPr>
        <w:t xml:space="preserve">Company Name:  </w:t>
      </w:r>
      <w:r>
        <w:rPr>
          <w:rFonts w:ascii="Times New Roman" w:cs="Times New Roman" w:eastAsia="Times New Roman" w:hAnsi="Times New Roman"/>
          <w:b/>
          <w:bCs/>
          <w:color w:val="990000"/>
          <w:sz w:val="24"/>
          <w:szCs w:val="24"/>
        </w:rPr>
        <w:t xml:space="preserve">[Full legal name]</w:t>
      </w:r>
    </w:p>
    <w:p>
      <w:r>
        <w:b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Member Name</w:t>
            </w:r>
          </w:p>
        </w:tc>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Address</w:t>
            </w:r>
          </w:p>
        </w:tc>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Contribution ($)</w:t>
            </w:r>
          </w:p>
        </w:tc>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Ownership Interest (%)</w:t>
            </w:r>
          </w:p>
        </w:tc>
      </w:tr>
      <w:tr>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bl>
    <w:p>
      <w:r>
        <w:br/>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agreed value recorded here is the reference point for the contribution-based voting and allocation defaults under RSA 304-C:65 and RSA 304-C:90. This Agreement overrides those defaults with the Ownership Interest percentage above.</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LEGAL DISCLAIMER</w:t>
      </w:r>
    </w:p>
    <w:p>
      <w:pPr>
        <w:pBdr>
          <w:bottom w:val="single" w:color="BBBBBB" w:sz="6" w:space="1"/>
        </w:pBdr>
        <w:spacing w:after="120" w:before="120"/>
      </w:pP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Operating Agreement template for a New Hampshire limited liability company is provided by Boost Suite for informational and educational purposes only. It does not constitute legal advice and does not create an attorney-client relationship. Boost Suite is not a law firm. This template is based on the New Hampshire Limited Liability Company Act, RSA chapter 304-C, including RSA 304-C:16, 304-C:31, 304-C:36, 304-C:40, 304-C:41, 304-C:42, 304-C:43, 304-C:47, 304-C:52, 304-C:64, 304-C:65, 304-C:67, 304-C:90, 304-C:93, 304-C:103, 304-C:107, 304-C:108, 304-C:110, 304-C:111, 304-C:115, 304-C:116, 304-C:124, 304-C:126, 304-C:129, 304-C:131, 304-C:134, 304-C:136, 304-C:186, 304-C:191, and 304-C:194. Laws change; Boost Suite does not guarantee that this template reflects the most current version of New Hampshire law. LLCs with complex structures should have this Agreement reviewed by a licensed New Hampshire attorney.</w:t>
      </w:r>
    </w:p>
    <w:p>
      <w:r>
        <w:br/>
      </w:r>
    </w:p>
    <w:p>
      <w:pPr>
        <w:spacing w:after="80" w:before="0" w:line="276" w:lineRule="auto"/>
      </w:pPr>
      <w:r>
        <w:rPr>
          <w:rFonts w:ascii="Times New Roman" w:cs="Times New Roman" w:eastAsia="Times New Roman" w:hAnsi="Times New Roman"/>
          <w:b/>
          <w:bCs/>
          <w:sz w:val="24"/>
          <w:szCs w:val="24"/>
        </w:rPr>
        <w:t xml:space="preserve">Your New Hampshire LLC Resources:</w:t>
      </w:r>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1ntacruup8d5a8swpvcno">
        <w:r>
          <w:rPr>
            <w:rFonts w:ascii="Times New Roman" w:cs="Times New Roman" w:eastAsia="Times New Roman" w:hAnsi="Times New Roman"/>
            <w:color w:val="0000CC"/>
            <w:sz w:val="24"/>
            <w:szCs w:val="24"/>
            <w:u w:val="single"/>
          </w:rPr>
          <w:t xml:space="preserve">https://boostsuite.com/llc-operating-agreement/new-hampshire/</w:t>
        </w:r>
      </w:hyperlink>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3isjr8ga3nswfqaitlt7i">
        <w:r>
          <w:rPr>
            <w:rFonts w:ascii="Times New Roman" w:cs="Times New Roman" w:eastAsia="Times New Roman" w:hAnsi="Times New Roman"/>
            <w:color w:val="0000CC"/>
            <w:sz w:val="24"/>
            <w:szCs w:val="24"/>
            <w:u w:val="single"/>
          </w:rPr>
          <w:t xml:space="preserve">https://boostsuite.com/how-to-start-an-llc/new-hampshire/</w:t>
        </w:r>
      </w:hyperlink>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6j7fxl-eefeif8ldhckxa">
        <w:r>
          <w:rPr>
            <w:rFonts w:ascii="Times New Roman" w:cs="Times New Roman" w:eastAsia="Times New Roman" w:hAnsi="Times New Roman"/>
            <w:color w:val="0000CC"/>
            <w:sz w:val="24"/>
            <w:szCs w:val="24"/>
            <w:u w:val="single"/>
          </w:rPr>
          <w:t xml:space="preserve">https://boostsuite.com/how-to-start-an-llc/cost/new-hampshire/</w:t>
        </w:r>
      </w:hyperlink>
    </w:p>
    <w:p>
      <w:r>
        <w:br/>
      </w:r>
    </w:p>
    <w:p>
      <w:pPr>
        <w:spacing w:before="200"/>
        <w:jc w:val="center"/>
      </w:pPr>
      <w:r>
        <w:rPr>
          <w:rFonts w:ascii="Times New Roman" w:cs="Times New Roman" w:eastAsia="Times New Roman" w:hAnsi="Times New Roman"/>
          <w:color w:val="666666"/>
          <w:sz w:val="20"/>
          <w:szCs w:val="20"/>
        </w:rPr>
        <w:t xml:space="preserve">© 2026 Boost Suite — All rights reserved.</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Times New Roman" w:cs="Times New Roman" w:eastAsia="Times New Roman" w:hAnsi="Times New Roman"/>
        <w:b w:val="false"/>
        <w:bCs w:val="false"/>
        <w:i w:val="false"/>
        <w:iCs w:val="false"/>
        <w:color w:val="000000"/>
        <w:sz w:val="24"/>
        <w:szCs w:val="24"/>
      </w:rPr>
      <w:t xml:space="preserve">Page </w:t>
    </w:r>
    <w:r>
      <w:rPr>
        <w:rFonts w:ascii="Times New Roman" w:cs="Times New Roman" w:eastAsia="Times New Roman" w:hAnsi="Times New Roman"/>
        <w:sz w:val="24"/>
        <w:szCs w:val="2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1ntacruup8d5a8swpvcno" Type="http://schemas.openxmlformats.org/officeDocument/2006/relationships/hyperlink" Target="https://boostsuite.com/llc-operating-agreement/new-hampshire/" TargetMode="External"/><Relationship Id="rId3isjr8ga3nswfqaitlt7i" Type="http://schemas.openxmlformats.org/officeDocument/2006/relationships/hyperlink" Target="https://boostsuite.com/how-to-start-an-llc/new-hampshire/" TargetMode="External"/><Relationship Id="rId6j7fxl-eefeif8ldhckxa" Type="http://schemas.openxmlformats.org/officeDocument/2006/relationships/hyperlink" Target="https://boostsuite.com/how-to-start-an-llc/cost/new-hampshire/" TargetMode="Externa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2026-04-19T08:14:28.787Z</dcterms:created>
  <dcterms:modified xsi:type="dcterms:W3CDTF">2026-04-19T08:14:28.788Z</dcterms:modified>
</cp:coreProperties>
</file>

<file path=docProps/custom.xml><?xml version="1.0" encoding="utf-8"?>
<Properties xmlns="http://schemas.openxmlformats.org/officeDocument/2006/custom-properties" xmlns:vt="http://schemas.openxmlformats.org/officeDocument/2006/docPropsVTypes"/>
</file>