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HAMPSHIRE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New Hampshire Limited Liability Company Act, RSA chapter 304-C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Hampshire Limited Liability Company Act, RSA chapter 304-C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with the New Hampshire Secretary of State, Corporation Division. The Certificate of Formation filing fee is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(RSA 304-C:191). In New Hampshire, the formation document is called the Certificate of Formation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"Articles of Organization." This Operating Agreement is internal and is NOT filed with the New Hampshire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the Certificate of Formation must state whether the LLC is managed by its members or by managers. This Agreement must be consistent with that election.</w:t>
      </w:r>
    </w:p>
    <w:p>
      <w:pPr>
        <w:spacing w:after="60" w:before="120" w:line="276" w:lineRule="auto"/>
      </w:pPr>
      <w:r>
        <w:rPr>
          <w:rFonts w:ascii="Times New Roman" w:cs="Times New Roman" w:eastAsia="Times New Roman" w:hAnsi="Times New Roman"/>
          <w:b/>
          <w:bCs/>
          <w:color w:val="000000"/>
          <w:sz w:val="24"/>
          <w:szCs w:val="24"/>
        </w:rPr>
        <w:t xml:space="preserve">1.04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New Hampshire LLC must maintain a registered agent and registered office in the state (RSA 304-C:36). The registered agent must have a physical address in New Hampshire.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NH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304-C:40</w:t>
      </w:r>
      <w:r>
        <w:rPr>
          <w:rFonts w:ascii="Times New Roman" w:cs="Times New Roman" w:eastAsia="Times New Roman" w:hAnsi="Times New Roman"/>
          <w:b w:val="false"/>
          <w:bCs w:val="false"/>
          <w:i w:val="false"/>
          <w:iCs w:val="false"/>
          <w:color w:val="000000"/>
          <w:sz w:val="24"/>
          <w:szCs w:val="24"/>
        </w:rPr>
        <w:t xml:space="preserve">, unless a written operating agreement provides otherwise, a New Hampshire operating agreement may be </w:t>
      </w:r>
      <w:r>
        <w:rPr>
          <w:rFonts w:ascii="Times New Roman" w:cs="Times New Roman" w:eastAsia="Times New Roman" w:hAnsi="Times New Roman"/>
          <w:b/>
          <w:bCs/>
          <w:i w:val="false"/>
          <w:iCs w:val="false"/>
          <w:color w:val="000000"/>
          <w:sz w:val="24"/>
          <w:szCs w:val="24"/>
        </w:rPr>
        <w:t xml:space="preserve">written, oral, or implied by a course of dealing or otherwise</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RSA 304-C:42</w:t>
      </w:r>
      <w:r>
        <w:rPr>
          <w:rFonts w:ascii="Times New Roman" w:cs="Times New Roman" w:eastAsia="Times New Roman" w:hAnsi="Times New Roman"/>
          <w:b w:val="false"/>
          <w:bCs w:val="false"/>
          <w:i w:val="false"/>
          <w:iCs w:val="false"/>
          <w:color w:val="000000"/>
          <w:sz w:val="24"/>
          <w:szCs w:val="24"/>
        </w:rPr>
        <w:t xml:space="preserve">, the LLC is bound by and may enforce this Agreement even though the LLC has not itself manifested assent. The Members have elected to execute this WRITTEN Operating Agreement for certainty, banking purposes, and enforceability of all governance provisions.</w:t>
      </w:r>
    </w:p>
    <w:p>
      <w:pPr>
        <w:spacing w:after="60" w:before="120" w:line="276" w:lineRule="auto"/>
      </w:pPr>
      <w:r>
        <w:rPr>
          <w:rFonts w:ascii="Times New Roman" w:cs="Times New Roman" w:eastAsia="Times New Roman" w:hAnsi="Times New Roman"/>
          <w:b/>
          <w:bCs/>
          <w:color w:val="000000"/>
          <w:sz w:val="24"/>
          <w:szCs w:val="24"/>
        </w:rPr>
        <w:t xml:space="preserve">1.08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are due between </w:t>
      </w:r>
      <w:r>
        <w:rPr>
          <w:rFonts w:ascii="Times New Roman" w:cs="Times New Roman" w:eastAsia="Times New Roman" w:hAnsi="Times New Roman"/>
          <w:b/>
          <w:bCs/>
          <w:i w:val="false"/>
          <w:iCs w:val="false"/>
          <w:color w:val="000000"/>
          <w:sz w:val="24"/>
          <w:szCs w:val="24"/>
        </w:rPr>
        <w:t xml:space="preserve">January 1 and April 1</w:t>
      </w:r>
      <w:r>
        <w:rPr>
          <w:rFonts w:ascii="Times New Roman" w:cs="Times New Roman" w:eastAsia="Times New Roman" w:hAnsi="Times New Roman"/>
          <w:b w:val="false"/>
          <w:bCs w:val="false"/>
          <w:i w:val="false"/>
          <w:iCs w:val="false"/>
          <w:color w:val="000000"/>
          <w:sz w:val="24"/>
          <w:szCs w:val="24"/>
        </w:rPr>
        <w:t xml:space="preserve"> each year (RSA 304-C:194).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LLCs formed between December 1 and April 1 skip the immediately following annual report cycle.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Hampshire Limited Liability Company Act, RSA chapter 304-C,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LLC-1)</w:t>
      </w:r>
      <w:r>
        <w:rPr>
          <w:rFonts w:ascii="Times New Roman" w:cs="Times New Roman" w:eastAsia="Times New Roman" w:hAnsi="Times New Roman"/>
          <w:b w:val="false"/>
          <w:bCs w:val="false"/>
          <w:i w:val="false"/>
          <w:iCs w:val="false"/>
          <w:color w:val="000000"/>
          <w:sz w:val="24"/>
          <w:szCs w:val="24"/>
        </w:rPr>
        <w:t xml:space="preserve"> filed with the New Hampshire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without conferring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statutory rule under RSA 304-C:65 and RSA 304-C:90 that ties voting power and profit/loss allocations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 per-capita shares.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Members acknowledge that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if this Agreement were silent, voting power and profit/loss allocations would default to the agreed value of contributions received and not returned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per-capita shares. The Members expressly set allocations and voting in Exhibit 1.</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profits and losses default to the agreed value of contributions received and not returned. 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voting follows the same formula. The Members override both defaults: all allocations and voting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promising additional contributions requires unanimous member approval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Ownership Interests in Exhibit 1, subject to the solvency restrictions of </w:t>
      </w:r>
      <w:r>
        <w:rPr>
          <w:rFonts w:ascii="Times New Roman" w:cs="Times New Roman" w:eastAsia="Times New Roman" w:hAnsi="Times New Roman"/>
          <w:b/>
          <w:bCs/>
          <w:i w:val="false"/>
          <w:iCs w:val="false"/>
          <w:color w:val="000000"/>
          <w:sz w:val="24"/>
          <w:szCs w:val="24"/>
        </w:rPr>
        <w:t xml:space="preserve">RSA 304-C:93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Hampshire imposes: </w:t>
      </w:r>
      <w:r>
        <w:rPr>
          <w:rFonts w:ascii="Times New Roman" w:cs="Times New Roman" w:eastAsia="Times New Roman" w:hAnsi="Times New Roman"/>
          <w:b/>
          <w:bCs/>
          <w:i w:val="false"/>
          <w:iCs w:val="false"/>
          <w:color w:val="000000"/>
          <w:sz w:val="24"/>
          <w:szCs w:val="24"/>
        </w:rPr>
        <w:t xml:space="preserve">Business Profits Tax (BPT) at 7.5%</w:t>
      </w:r>
      <w:r>
        <w:rPr>
          <w:rFonts w:ascii="Times New Roman" w:cs="Times New Roman" w:eastAsia="Times New Roman" w:hAnsi="Times New Roman"/>
          <w:b w:val="false"/>
          <w:bCs w:val="false"/>
          <w:i w:val="false"/>
          <w:iCs w:val="false"/>
          <w:color w:val="000000"/>
          <w:sz w:val="24"/>
          <w:szCs w:val="24"/>
        </w:rPr>
        <w:t xml:space="preserve"> on income exceeding $50,000; </w:t>
      </w:r>
      <w:r>
        <w:rPr>
          <w:rFonts w:ascii="Times New Roman" w:cs="Times New Roman" w:eastAsia="Times New Roman" w:hAnsi="Times New Roman"/>
          <w:b/>
          <w:bCs/>
          <w:i w:val="false"/>
          <w:iCs w:val="false"/>
          <w:color w:val="000000"/>
          <w:sz w:val="24"/>
          <w:szCs w:val="24"/>
        </w:rPr>
        <w:t xml:space="preserve">Business Enterprise Tax (BET) at 0.55%</w:t>
      </w:r>
      <w:r>
        <w:rPr>
          <w:rFonts w:ascii="Times New Roman" w:cs="Times New Roman" w:eastAsia="Times New Roman" w:hAnsi="Times New Roman"/>
          <w:b w:val="false"/>
          <w:bCs w:val="false"/>
          <w:i w:val="false"/>
          <w:iCs w:val="false"/>
          <w:color w:val="000000"/>
          <w:sz w:val="24"/>
          <w:szCs w:val="24"/>
        </w:rPr>
        <w:t xml:space="preserve"> on the enterprise value tax base (BET paid credits against BPT). LLCs taxed as partnerships file </w:t>
      </w:r>
      <w:r>
        <w:rPr>
          <w:rFonts w:ascii="Times New Roman" w:cs="Times New Roman" w:eastAsia="Times New Roman" w:hAnsi="Times New Roman"/>
          <w:b/>
          <w:bCs/>
          <w:i w:val="false"/>
          <w:iCs w:val="false"/>
          <w:color w:val="000000"/>
          <w:sz w:val="24"/>
          <w:szCs w:val="24"/>
        </w:rPr>
        <w:t xml:space="preserve">NH-1065</w:t>
      </w:r>
      <w:r>
        <w:rPr>
          <w:rFonts w:ascii="Times New Roman" w:cs="Times New Roman" w:eastAsia="Times New Roman" w:hAnsi="Times New Roman"/>
          <w:b w:val="false"/>
          <w:bCs w:val="false"/>
          <w:i w:val="false"/>
          <w:iCs w:val="false"/>
          <w:color w:val="000000"/>
          <w:sz w:val="24"/>
          <w:szCs w:val="24"/>
        </w:rPr>
        <w:t xml:space="preserve">; returns due 15th day of the 3rd month after year-end. Estimated payments due the 15th of the 4th, 6th, 9th, and 12th months. 7-month extension if 100% of tax paid by original due date. The </w:t>
      </w:r>
      <w:r>
        <w:rPr>
          <w:rFonts w:ascii="Times New Roman" w:cs="Times New Roman" w:eastAsia="Times New Roman" w:hAnsi="Times New Roman"/>
          <w:b/>
          <w:bCs/>
          <w:i w:val="false"/>
          <w:iCs w:val="false"/>
          <w:color w:val="000000"/>
          <w:sz w:val="24"/>
          <w:szCs w:val="24"/>
        </w:rPr>
        <w:t xml:space="preserve">Interest and Dividends Tax was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separate NH LLC franchise tax.</w:t>
      </w:r>
    </w:p>
    <w:p>
      <w:pPr>
        <w:spacing w:after="60" w:before="120" w:line="276" w:lineRule="auto"/>
      </w:pPr>
      <w:r>
        <w:rPr>
          <w:rFonts w:ascii="Times New Roman" w:cs="Times New Roman" w:eastAsia="Times New Roman" w:hAnsi="Times New Roman"/>
          <w:b/>
          <w:bCs/>
          <w:color w:val="000000"/>
          <w:sz w:val="24"/>
          <w:szCs w:val="24"/>
        </w:rPr>
        <w:t xml:space="preserve">IV.05  BOI / FinCEN.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New Hampshire LLCs are </w:t>
      </w:r>
      <w:r>
        <w:rPr>
          <w:rFonts w:ascii="Times New Roman" w:cs="Times New Roman" w:eastAsia="Times New Roman" w:hAnsi="Times New Roman"/>
          <w:b/>
          <w:bCs/>
          <w:i w:val="false"/>
          <w:iCs w:val="false"/>
          <w:color w:val="000000"/>
          <w:sz w:val="24"/>
          <w:szCs w:val="24"/>
        </w:rPr>
        <w:t xml:space="preserve">NOT currently required to file BOI reports</w:t>
      </w:r>
      <w:r>
        <w:rPr>
          <w:rFonts w:ascii="Times New Roman" w:cs="Times New Roman" w:eastAsia="Times New Roman" w:hAnsi="Times New Roman"/>
          <w:b w:val="false"/>
          <w:bCs w:val="false"/>
          <w:i w:val="false"/>
          <w:iCs w:val="false"/>
          <w:color w:val="000000"/>
          <w:sz w:val="24"/>
          <w:szCs w:val="24"/>
        </w:rPr>
        <w:t xml:space="preserve">. An EIN is still required for tax filing and bank accounts.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consistent with the election in the Certificate of Formation. Under </w:t>
      </w:r>
      <w:r>
        <w:rPr>
          <w:rFonts w:ascii="Times New Roman" w:cs="Times New Roman" w:eastAsia="Times New Roman" w:hAnsi="Times New Roman"/>
          <w:b/>
          <w:bCs/>
          <w:i w:val="false"/>
          <w:iCs w:val="false"/>
          <w:color w:val="000000"/>
          <w:sz w:val="24"/>
          <w:szCs w:val="24"/>
        </w:rPr>
        <w:t xml:space="preserve">RSA 304-C:47</w:t>
      </w:r>
      <w:r>
        <w:rPr>
          <w:rFonts w:ascii="Times New Roman" w:cs="Times New Roman" w:eastAsia="Times New Roman" w:hAnsi="Times New Roman"/>
          <w:b w:val="false"/>
          <w:bCs w:val="false"/>
          <w:i w:val="false"/>
          <w:iCs w:val="false"/>
          <w:color w:val="000000"/>
          <w:sz w:val="24"/>
          <w:szCs w:val="24"/>
        </w:rPr>
        <w:t xml:space="preserve">, a New Hampshire LLC is member-managed by default. Under </w:t>
      </w:r>
      <w:r>
        <w:rPr>
          <w:rFonts w:ascii="Times New Roman" w:cs="Times New Roman" w:eastAsia="Times New Roman" w:hAnsi="Times New Roman"/>
          <w:b/>
          <w:bCs/>
          <w:i w:val="false"/>
          <w:iCs w:val="false"/>
          <w:color w:val="000000"/>
          <w:sz w:val="24"/>
          <w:szCs w:val="24"/>
        </w:rPr>
        <w:t xml:space="preserve">RSA 304-C:52</w:t>
      </w:r>
      <w:r>
        <w:rPr>
          <w:rFonts w:ascii="Times New Roman" w:cs="Times New Roman" w:eastAsia="Times New Roman" w:hAnsi="Times New Roman"/>
          <w:b w:val="false"/>
          <w:bCs w:val="false"/>
          <w:i w:val="false"/>
          <w:iCs w:val="false"/>
          <w:color w:val="000000"/>
          <w:sz w:val="24"/>
          <w:szCs w:val="24"/>
        </w:rPr>
        <w:t xml:space="preserve">, each Member is an agent of the Company for its business and internal affairs, unless the third party knows the Member lacks authority.</w:t>
      </w:r>
    </w:p>
    <w:p>
      <w:pPr>
        <w:spacing w:after="60" w:before="120" w:line="276" w:lineRule="auto"/>
      </w:pPr>
      <w:r>
        <w:rPr>
          <w:rFonts w:ascii="Times New Roman" w:cs="Times New Roman" w:eastAsia="Times New Roman" w:hAnsi="Times New Roman"/>
          <w:b/>
          <w:bCs/>
          <w:color w:val="000000"/>
          <w:sz w:val="24"/>
          <w:szCs w:val="24"/>
        </w:rPr>
        <w:t xml:space="preserve">V.02  Certificate of Formation Must Match.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304-C:31</w:t>
      </w:r>
      <w:r>
        <w:rPr>
          <w:rFonts w:ascii="Times New Roman" w:cs="Times New Roman" w:eastAsia="Times New Roman" w:hAnsi="Times New Roman"/>
          <w:b w:val="false"/>
          <w:bCs w:val="false"/>
          <w:i w:val="false"/>
          <w:iCs w:val="false"/>
          <w:color w:val="000000"/>
          <w:sz w:val="24"/>
          <w:szCs w:val="24"/>
        </w:rPr>
        <w:t xml:space="preserve">, the Certificate of Formation must state whether the LLC is managed by members or managers. This Agreement must be consistent with that election. A change in management structure requires both an amendment to this Agreement AND a Certificate of Amendment filed with the </w:t>
      </w:r>
      <w:r>
        <w:rPr>
          <w:rFonts w:ascii="Times New Roman" w:cs="Times New Roman" w:eastAsia="Times New Roman" w:hAnsi="Times New Roman"/>
          <w:b/>
          <w:bCs/>
          <w:i w:val="false"/>
          <w:iCs w:val="false"/>
          <w:color w:val="000000"/>
          <w:sz w:val="24"/>
          <w:szCs w:val="24"/>
        </w:rPr>
        <w:t xml:space="preserve">New Hampshire Secretary of State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V.03  Voting —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voting power defaults to each member's share of the agreed value of contributions at formation — </w:t>
      </w:r>
      <w:r>
        <w:rPr>
          <w:rFonts w:ascii="Times New Roman" w:cs="Times New Roman" w:eastAsia="Times New Roman" w:hAnsi="Times New Roman"/>
          <w:b/>
          <w:bCs/>
          <w:i w:val="false"/>
          <w:iCs w:val="false"/>
          <w:color w:val="000000"/>
          <w:sz w:val="24"/>
          <w:szCs w:val="24"/>
        </w:rPr>
        <w:t xml:space="preserve">NOT per capita</w:t>
      </w:r>
      <w:r>
        <w:rPr>
          <w:rFonts w:ascii="Times New Roman" w:cs="Times New Roman" w:eastAsia="Times New Roman" w:hAnsi="Times New Roman"/>
          <w:b w:val="false"/>
          <w:bCs w:val="false"/>
          <w:i w:val="false"/>
          <w:iCs w:val="false"/>
          <w:color w:val="000000"/>
          <w:sz w:val="24"/>
          <w:szCs w:val="24"/>
        </w:rPr>
        <w:t xml:space="preserve">. The Members elect the following voting basis: </w:t>
      </w:r>
      <w:r>
        <w:rPr>
          <w:rFonts w:ascii="Times New Roman" w:cs="Times New Roman" w:eastAsia="Times New Roman" w:hAnsi="Times New Roman"/>
          <w:b/>
          <w:bCs/>
          <w:color w:val="990000"/>
          <w:sz w:val="24"/>
          <w:szCs w:val="24"/>
        </w:rPr>
        <w:t xml:space="preserve">[By Ownership Interest % / Per capita (one member, one vote) / Other]</w:t>
      </w:r>
    </w:p>
    <w:p>
      <w:pPr>
        <w:spacing w:after="60" w:before="120" w:line="276" w:lineRule="auto"/>
      </w:pPr>
      <w:r>
        <w:rPr>
          <w:rFonts w:ascii="Times New Roman" w:cs="Times New Roman" w:eastAsia="Times New Roman" w:hAnsi="Times New Roman"/>
          <w:b/>
          <w:bCs/>
          <w:color w:val="000000"/>
          <w:sz w:val="24"/>
          <w:szCs w:val="24"/>
        </w:rPr>
        <w:t xml:space="preserve">V.04  Ordinary Decisions — Majority Vote.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304-C:64</w:t>
      </w:r>
      <w:r>
        <w:rPr>
          <w:rFonts w:ascii="Times New Roman" w:cs="Times New Roman" w:eastAsia="Times New Roman" w:hAnsi="Times New Roman"/>
          <w:b w:val="false"/>
          <w:bCs w:val="false"/>
          <w:i w:val="false"/>
          <w:iCs w:val="false"/>
          <w:color w:val="000000"/>
          <w:sz w:val="24"/>
          <w:szCs w:val="24"/>
        </w:rPr>
        <w:t xml:space="preserve">, ordinary-course matters require majority approval (by Ownership Interest % or the elected basis above).</w:t>
      </w:r>
    </w:p>
    <w:p>
      <w:pPr>
        <w:spacing w:after="60" w:before="120" w:line="276" w:lineRule="auto"/>
      </w:pPr>
      <w:r>
        <w:rPr>
          <w:rFonts w:ascii="Times New Roman" w:cs="Times New Roman" w:eastAsia="Times New Roman" w:hAnsi="Times New Roman"/>
          <w:b/>
          <w:bCs/>
          <w:color w:val="000000"/>
          <w:sz w:val="24"/>
          <w:szCs w:val="24"/>
        </w:rPr>
        <w:t xml:space="preserve">V.05  Actions Requiring Unanimous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the following require unanimous approval of all Members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the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Promising to make additional capital contributions.</w:t>
      </w:r>
    </w:p>
    <w:p>
      <w:pPr>
        <w:spacing w:after="60" w:before="120" w:line="276" w:lineRule="auto"/>
      </w:pPr>
      <w:r>
        <w:rPr>
          <w:rFonts w:ascii="Times New Roman" w:cs="Times New Roman" w:eastAsia="Times New Roman" w:hAnsi="Times New Roman"/>
          <w:b/>
          <w:bCs/>
          <w:color w:val="000000"/>
          <w:sz w:val="24"/>
          <w:szCs w:val="24"/>
        </w:rPr>
        <w:t xml:space="preserve">V.06  Custom Threshold for Extraordinary Actions.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elect the following threshold for extraordinary actions: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V.07  Fiduciary Duties and Good Faith.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 fiduciary duties are governed by </w:t>
      </w:r>
      <w:r>
        <w:rPr>
          <w:rFonts w:ascii="Times New Roman" w:cs="Times New Roman" w:eastAsia="Times New Roman" w:hAnsi="Times New Roman"/>
          <w:b/>
          <w:bCs/>
          <w:i w:val="false"/>
          <w:iCs w:val="false"/>
          <w:color w:val="000000"/>
          <w:sz w:val="24"/>
          <w:szCs w:val="24"/>
        </w:rPr>
        <w:t xml:space="preserve">RSA 304-C:107</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RSA 304-C:108</w:t>
      </w:r>
      <w:r>
        <w:rPr>
          <w:rFonts w:ascii="Times New Roman" w:cs="Times New Roman" w:eastAsia="Times New Roman" w:hAnsi="Times New Roman"/>
          <w:b w:val="false"/>
          <w:bCs w:val="false"/>
          <w:i w:val="false"/>
          <w:iCs w:val="false"/>
          <w:color w:val="000000"/>
          <w:sz w:val="24"/>
          <w:szCs w:val="24"/>
        </w:rPr>
        <w:t xml:space="preserve">. The operating agreement may limit or eliminate liability for duty breaches (</w:t>
      </w:r>
      <w:r>
        <w:rPr>
          <w:rFonts w:ascii="Times New Roman" w:cs="Times New Roman" w:eastAsia="Times New Roman" w:hAnsi="Times New Roman"/>
          <w:b/>
          <w:bCs/>
          <w:i w:val="false"/>
          <w:iCs w:val="false"/>
          <w:color w:val="000000"/>
          <w:sz w:val="24"/>
          <w:szCs w:val="24"/>
        </w:rPr>
        <w:t xml:space="preserve">RSA 304-C:115</w:t>
      </w:r>
      <w:r>
        <w:rPr>
          <w:rFonts w:ascii="Times New Roman" w:cs="Times New Roman" w:eastAsia="Times New Roman" w:hAnsi="Times New Roman"/>
          <w:b w:val="false"/>
          <w:bCs w:val="false"/>
          <w:i w:val="false"/>
          <w:iCs w:val="false"/>
          <w:color w:val="000000"/>
          <w:sz w:val="24"/>
          <w:szCs w:val="24"/>
        </w:rPr>
        <w:t xml:space="preserve">), but the </w:t>
      </w:r>
      <w:r>
        <w:rPr>
          <w:rFonts w:ascii="Times New Roman" w:cs="Times New Roman" w:eastAsia="Times New Roman" w:hAnsi="Times New Roman"/>
          <w:b/>
          <w:bCs/>
          <w:i w:val="false"/>
          <w:iCs w:val="false"/>
          <w:color w:val="000000"/>
          <w:sz w:val="24"/>
          <w:szCs w:val="24"/>
        </w:rPr>
        <w:t xml:space="preserve">implied contractual covenant of good faith and fair dealing (RSA 304-C:111)</w:t>
      </w:r>
      <w:r>
        <w:rPr>
          <w:rFonts w:ascii="Times New Roman" w:cs="Times New Roman" w:eastAsia="Times New Roman" w:hAnsi="Times New Roman"/>
          <w:b w:val="false"/>
          <w:bCs w:val="false"/>
          <w:i w:val="false"/>
          <w:iCs w:val="false"/>
          <w:color w:val="000000"/>
          <w:sz w:val="24"/>
          <w:szCs w:val="24"/>
        </w:rPr>
        <w:t xml:space="preserve"> cannot be eliminated by any provision of this Agreement.</w:t>
      </w:r>
    </w:p>
    <w:p>
      <w:pPr>
        <w:spacing w:after="60" w:before="120" w:line="276" w:lineRule="auto"/>
      </w:pPr>
      <w:r>
        <w:rPr>
          <w:rFonts w:ascii="Times New Roman" w:cs="Times New Roman" w:eastAsia="Times New Roman" w:hAnsi="Times New Roman"/>
          <w:b/>
          <w:bCs/>
          <w:color w:val="000000"/>
          <w:sz w:val="24"/>
          <w:szCs w:val="24"/>
        </w:rPr>
        <w:t xml:space="preserve">V.08  Member Withdrawal — 30-Day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304-C:103</w:t>
      </w:r>
      <w:r>
        <w:rPr>
          <w:rFonts w:ascii="Times New Roman" w:cs="Times New Roman" w:eastAsia="Times New Roman" w:hAnsi="Times New Roman"/>
          <w:b w:val="false"/>
          <w:bCs w:val="false"/>
          <w:i w:val="false"/>
          <w:iCs w:val="false"/>
          <w:color w:val="000000"/>
          <w:sz w:val="24"/>
          <w:szCs w:val="24"/>
        </w:rPr>
        <w:t xml:space="preserve">, a Member may withdraw at any time on </w:t>
      </w:r>
      <w:r>
        <w:rPr>
          <w:rFonts w:ascii="Times New Roman" w:cs="Times New Roman" w:eastAsia="Times New Roman" w:hAnsi="Times New Roman"/>
          <w:b/>
          <w:bCs/>
          <w:i w:val="false"/>
          <w:iCs w:val="false"/>
          <w:color w:val="000000"/>
          <w:sz w:val="24"/>
          <w:szCs w:val="24"/>
        </w:rPr>
        <w:t xml:space="preserve">30 days' written notice</w:t>
      </w:r>
      <w:r>
        <w:rPr>
          <w:rFonts w:ascii="Times New Roman" w:cs="Times New Roman" w:eastAsia="Times New Roman" w:hAnsi="Times New Roman"/>
          <w:b w:val="false"/>
          <w:bCs w:val="false"/>
          <w:i w:val="false"/>
          <w:iCs w:val="false"/>
          <w:color w:val="000000"/>
          <w:sz w:val="24"/>
          <w:szCs w:val="24"/>
        </w:rPr>
        <w:t xml:space="preserve"> unless this Agreement provides otherwise. The LLC may recover damages for wrongful withdrawal. Note: in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the NH Supreme Court held that transfer restrictions do not automatically prohibit withdrawal — withdrawal and transfer must be addressed separately. Withdrawal conditions: </w:t>
      </w:r>
      <w:r>
        <w:rPr>
          <w:rFonts w:ascii="Times New Roman" w:cs="Times New Roman" w:eastAsia="Times New Roman" w:hAnsi="Times New Roman"/>
          <w:b/>
          <w:bCs/>
          <w:color w:val="990000"/>
          <w:sz w:val="24"/>
          <w:szCs w:val="24"/>
        </w:rPr>
        <w:t xml:space="preserve">[30-day notice (statutory default) / modified period / prohibited without consent]</w:t>
      </w:r>
    </w:p>
    <w:p>
      <w:pPr>
        <w:spacing w:after="60" w:before="120" w:line="276" w:lineRule="auto"/>
      </w:pPr>
      <w:r>
        <w:rPr>
          <w:rFonts w:ascii="Times New Roman" w:cs="Times New Roman" w:eastAsia="Times New Roman" w:hAnsi="Times New Roman"/>
          <w:b/>
          <w:bCs/>
          <w:color w:val="000000"/>
          <w:sz w:val="24"/>
          <w:szCs w:val="24"/>
        </w:rPr>
        <w:t xml:space="preserve">V.09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over internal affairs default to </w:t>
      </w:r>
      <w:r>
        <w:rPr>
          <w:rFonts w:ascii="Times New Roman" w:cs="Times New Roman" w:eastAsia="Times New Roman" w:hAnsi="Times New Roman"/>
          <w:b/>
          <w:bCs/>
          <w:i w:val="false"/>
          <w:iCs w:val="false"/>
          <w:color w:val="000000"/>
          <w:sz w:val="24"/>
          <w:szCs w:val="24"/>
        </w:rPr>
        <w:t xml:space="preserve">New Hampshire courts</w:t>
      </w:r>
      <w:r>
        <w:rPr>
          <w:rFonts w:ascii="Times New Roman" w:cs="Times New Roman" w:eastAsia="Times New Roman" w:hAnsi="Times New Roman"/>
          <w:b w:val="false"/>
          <w:bCs w:val="false"/>
          <w:i w:val="false"/>
          <w:iCs w:val="false"/>
          <w:color w:val="000000"/>
          <w:sz w:val="24"/>
          <w:szCs w:val="24"/>
        </w:rPr>
        <w:t xml:space="preserve">. Override: </w:t>
      </w:r>
      <w:r>
        <w:rPr>
          <w:rFonts w:ascii="Times New Roman" w:cs="Times New Roman" w:eastAsia="Times New Roman" w:hAnsi="Times New Roman"/>
          <w:b/>
          <w:bCs/>
          <w:color w:val="990000"/>
          <w:sz w:val="24"/>
          <w:szCs w:val="24"/>
        </w:rPr>
        <w:t xml:space="preserve">[NH courts (default) / arbitration / other forum]</w:t>
      </w:r>
    </w:p>
    <w:p>
      <w:pPr>
        <w:spacing w:after="60" w:before="120" w:line="276" w:lineRule="auto"/>
      </w:pPr>
      <w:r>
        <w:rPr>
          <w:rFonts w:ascii="Times New Roman" w:cs="Times New Roman" w:eastAsia="Times New Roman" w:hAnsi="Times New Roman"/>
          <w:b/>
          <w:bCs/>
          <w:color w:val="000000"/>
          <w:sz w:val="24"/>
          <w:szCs w:val="24"/>
        </w:rPr>
        <w:t xml:space="preserve">V.10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Action without a meeting requires consent of Members holding the applicable threshold of Ownership Interests.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304-C:124</w:t>
      </w:r>
      <w:r>
        <w:rPr>
          <w:rFonts w:ascii="Times New Roman" w:cs="Times New Roman" w:eastAsia="Times New Roman" w:hAnsi="Times New Roman"/>
          <w:b w:val="false"/>
          <w:bCs w:val="false"/>
          <w:i w:val="false"/>
          <w:iCs w:val="false"/>
          <w:color w:val="000000"/>
          <w:sz w:val="24"/>
          <w:szCs w:val="24"/>
        </w:rPr>
        <w:t xml:space="preserve">, a transferee does NOT automatically become a Member. Unless this Agreement changes the rule, a transferee becomes a Member only upon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The transferee receives only economic rights (distributions)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Charging Order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multi-member LLC</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sole and exclusive remedy</w:t>
      </w:r>
      <w:r>
        <w:rPr>
          <w:rFonts w:ascii="Times New Roman" w:cs="Times New Roman" w:eastAsia="Times New Roman" w:hAnsi="Times New Roman"/>
          <w:b w:val="false"/>
          <w:bCs w:val="false"/>
          <w:i w:val="false"/>
          <w:iCs w:val="false"/>
          <w:color w:val="000000"/>
          <w:sz w:val="24"/>
          <w:szCs w:val="24"/>
        </w:rPr>
        <w:t xml:space="preserve"> against a member's Transferable Interest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A creditor can intercept distributions but cannot seize membership interests or force liquidation.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For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 if a charging order will not satisfy the judgment within a reasonable time, the court may allow </w:t>
      </w:r>
      <w:r>
        <w:rPr>
          <w:rFonts w:ascii="Times New Roman" w:cs="Times New Roman" w:eastAsia="Times New Roman" w:hAnsi="Times New Roman"/>
          <w:b/>
          <w:bCs/>
          <w:i w:val="false"/>
          <w:iCs w:val="false"/>
          <w:color w:val="000000"/>
          <w:sz w:val="24"/>
          <w:szCs w:val="24"/>
        </w:rPr>
        <w:t xml:space="preserve">additional remedies</w:t>
      </w:r>
      <w:r>
        <w:rPr>
          <w:rFonts w:ascii="Times New Roman" w:cs="Times New Roman" w:eastAsia="Times New Roman" w:hAnsi="Times New Roman"/>
          <w:b w:val="false"/>
          <w:bCs w:val="false"/>
          <w:i w:val="false"/>
          <w:iCs w:val="false"/>
          <w:color w:val="000000"/>
          <w:sz w:val="24"/>
          <w:szCs w:val="24"/>
        </w:rPr>
        <w:t xml:space="preserve"> against the Transferable Interest (RSA 304-C:126). </w:t>
      </w:r>
      <w:r>
        <w:rPr>
          <w:rFonts w:ascii="Times New Roman" w:cs="Times New Roman" w:eastAsia="Times New Roman" w:hAnsi="Times New Roman"/>
          <w:b/>
          <w:bCs/>
          <w:i w:val="false"/>
          <w:iCs w:val="false"/>
          <w:color w:val="000000"/>
          <w:sz w:val="24"/>
          <w:szCs w:val="24"/>
        </w:rPr>
        <w:t xml:space="preserve">Single-member charging-order protection is weaker than multi-member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Separate from Transfer.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Peregrine Interests, LLC v. Todd, 174 N.H. 879 (2025)</w:t>
      </w:r>
      <w:r>
        <w:rPr>
          <w:rFonts w:ascii="Times New Roman" w:cs="Times New Roman" w:eastAsia="Times New Roman" w:hAnsi="Times New Roman"/>
          <w:b w:val="false"/>
          <w:bCs w:val="false"/>
          <w:i w:val="false"/>
          <w:iCs w:val="false"/>
          <w:color w:val="000000"/>
          <w:sz w:val="24"/>
          <w:szCs w:val="24"/>
        </w:rPr>
        <w:t xml:space="preserve">, transfer restrictions do NOT automatically restrict member withdrawal. Withdrawal and transfer are separate legal events. See the Management Article for withdrawal provisions.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admitting a new Member and granting additional membership rights require unanimous approval by default. Threshold elected: </w:t>
      </w:r>
      <w:r>
        <w:rPr>
          <w:rFonts w:ascii="Times New Roman" w:cs="Times New Roman" w:eastAsia="Times New Roman" w:hAnsi="Times New Roman"/>
          <w:b/>
          <w:bCs/>
          <w:color w:val="990000"/>
          <w:sz w:val="24"/>
          <w:szCs w:val="24"/>
        </w:rPr>
        <w:t xml:space="preserve">[Unanimous (default) / written procedure]</w:t>
      </w:r>
    </w:p>
    <w:p>
      <w:pPr>
        <w:spacing w:after="60" w:before="120" w:line="276" w:lineRule="auto"/>
      </w:pPr>
      <w:r>
        <w:rPr>
          <w:rFonts w:ascii="Times New Roman" w:cs="Times New Roman" w:eastAsia="Times New Roman" w:hAnsi="Times New Roman"/>
          <w:b/>
          <w:bCs/>
          <w:color w:val="000000"/>
          <w:sz w:val="24"/>
          <w:szCs w:val="24"/>
        </w:rPr>
        <w:t xml:space="preserve">7.02  Multi-Member Charging Order — Exclusive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304-C:126</w:t>
      </w:r>
      <w:r>
        <w:rPr>
          <w:rFonts w:ascii="Times New Roman" w:cs="Times New Roman" w:eastAsia="Times New Roman" w:hAnsi="Times New Roman"/>
          <w:b w:val="false"/>
          <w:bCs w:val="false"/>
          <w:i w:val="false"/>
          <w:iCs w:val="false"/>
          <w:color w:val="000000"/>
          <w:sz w:val="24"/>
          <w:szCs w:val="24"/>
        </w:rPr>
        <w:t xml:space="preserve">, in a multi-member LLC the charging order is the </w:t>
      </w:r>
      <w:r>
        <w:rPr>
          <w:rFonts w:ascii="Times New Roman" w:cs="Times New Roman" w:eastAsia="Times New Roman" w:hAnsi="Times New Roman"/>
          <w:b/>
          <w:bCs/>
          <w:i w:val="false"/>
          <w:iCs w:val="false"/>
          <w:color w:val="000000"/>
          <w:sz w:val="24"/>
          <w:szCs w:val="24"/>
        </w:rPr>
        <w:t xml:space="preserve">sole and exclusive remedy</w:t>
      </w:r>
      <w:r>
        <w:rPr>
          <w:rFonts w:ascii="Times New Roman" w:cs="Times New Roman" w:eastAsia="Times New Roman" w:hAnsi="Times New Roman"/>
          <w:b w:val="false"/>
          <w:bCs w:val="false"/>
          <w:i w:val="false"/>
          <w:iCs w:val="false"/>
          <w:color w:val="000000"/>
          <w:sz w:val="24"/>
          <w:szCs w:val="24"/>
        </w:rPr>
        <w:t xml:space="preserve"> against a member's Transferable Interest. A creditor can intercept distributions but cannot seize membership interests, force liquidation, or exercise governance rights. This is stronger protection than in a single-member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written Operating Agreement and all amendments; (c) a current member list with addresses; (d) federal, state, and local tax returns for the three most recent fiscal years.</w:t>
      </w:r>
    </w:p>
    <w:p>
      <w:pPr>
        <w:spacing w:after="60" w:before="120" w:line="276" w:lineRule="auto"/>
      </w:pPr>
      <w:r>
        <w:rPr>
          <w:rFonts w:ascii="Times New Roman" w:cs="Times New Roman" w:eastAsia="Times New Roman" w:hAnsi="Times New Roman"/>
          <w:b/>
          <w:bCs/>
          <w:color w:val="000000"/>
          <w:sz w:val="24"/>
          <w:szCs w:val="24"/>
        </w:rPr>
        <w:t xml:space="preserve">VIII.02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VIII.04  New Hampshire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BPT: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on income exceeding $50,000. BET: </w:t>
      </w:r>
      <w:r>
        <w:rPr>
          <w:rFonts w:ascii="Times New Roman" w:cs="Times New Roman" w:eastAsia="Times New Roman" w:hAnsi="Times New Roman"/>
          <w:b/>
          <w:bCs/>
          <w:i w:val="false"/>
          <w:iCs w:val="false"/>
          <w:color w:val="000000"/>
          <w:sz w:val="24"/>
          <w:szCs w:val="24"/>
        </w:rPr>
        <w:t xml:space="preserve">0.55%</w:t>
      </w:r>
      <w:r>
        <w:rPr>
          <w:rFonts w:ascii="Times New Roman" w:cs="Times New Roman" w:eastAsia="Times New Roman" w:hAnsi="Times New Roman"/>
          <w:b w:val="false"/>
          <w:bCs w:val="false"/>
          <w:i w:val="false"/>
          <w:iCs w:val="false"/>
          <w:color w:val="000000"/>
          <w:sz w:val="24"/>
          <w:szCs w:val="24"/>
        </w:rPr>
        <w:t xml:space="preserve"> on enterprise value tax base (BET credits against BPT). Partnership filers: NH-1065; returns due 15th day of 3rd month after year-end. Estimated payments: 15th of 4th, 6th, 9th, and 12th months. 7-month extension if 100% paid by original due date. </w:t>
      </w:r>
      <w:r>
        <w:rPr>
          <w:rFonts w:ascii="Times New Roman" w:cs="Times New Roman" w:eastAsia="Times New Roman" w:hAnsi="Times New Roman"/>
          <w:b/>
          <w:bCs/>
          <w:i w:val="false"/>
          <w:iCs w:val="false"/>
          <w:color w:val="000000"/>
          <w:sz w:val="24"/>
          <w:szCs w:val="24"/>
        </w:rPr>
        <w:t xml:space="preserve">Interest and Dividends Tax repealed</w:t>
      </w:r>
      <w:r>
        <w:rPr>
          <w:rFonts w:ascii="Times New Roman" w:cs="Times New Roman" w:eastAsia="Times New Roman" w:hAnsi="Times New Roman"/>
          <w:b w:val="false"/>
          <w:bCs w:val="false"/>
          <w:i w:val="false"/>
          <w:iCs w:val="false"/>
          <w:color w:val="000000"/>
          <w:sz w:val="24"/>
          <w:szCs w:val="24"/>
        </w:rPr>
        <w:t xml:space="preserve"> for periods beginning on or after January 1, 2025. </w:t>
      </w:r>
      <w:r>
        <w:rPr>
          <w:rFonts w:ascii="Times New Roman" w:cs="Times New Roman" w:eastAsia="Times New Roman" w:hAnsi="Times New Roman"/>
          <w:b/>
          <w:bCs/>
          <w:i w:val="false"/>
          <w:iCs w:val="false"/>
          <w:color w:val="000000"/>
          <w:sz w:val="24"/>
          <w:szCs w:val="24"/>
        </w:rPr>
        <w:t xml:space="preserve">No NH LLC franchise tax.</w:t>
      </w:r>
    </w:p>
    <w:p>
      <w:pPr>
        <w:spacing w:after="60" w:before="120" w:line="276" w:lineRule="auto"/>
      </w:pPr>
      <w:r>
        <w:rPr>
          <w:rFonts w:ascii="Times New Roman" w:cs="Times New Roman" w:eastAsia="Times New Roman" w:hAnsi="Times New Roman"/>
          <w:b/>
          <w:bCs/>
          <w:color w:val="000000"/>
          <w:sz w:val="24"/>
          <w:szCs w:val="24"/>
        </w:rPr>
        <w:t xml:space="preserve">VIII.05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IX.01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Members, Managers, officers, and agents per </w:t>
      </w:r>
      <w:r>
        <w:rPr>
          <w:rFonts w:ascii="Times New Roman" w:cs="Times New Roman" w:eastAsia="Times New Roman" w:hAnsi="Times New Roman"/>
          <w:b/>
          <w:bCs/>
          <w:i w:val="false"/>
          <w:iCs w:val="false"/>
          <w:color w:val="000000"/>
          <w:sz w:val="24"/>
          <w:szCs w:val="24"/>
        </w:rPr>
        <w:t xml:space="preserve">RSA 304-C:116</w:t>
      </w:r>
      <w:r>
        <w:rPr>
          <w:rFonts w:ascii="Times New Roman" w:cs="Times New Roman" w:eastAsia="Times New Roman" w:hAnsi="Times New Roman"/>
          <w:b w:val="false"/>
          <w:bCs w:val="false"/>
          <w:i w:val="false"/>
          <w:iCs w:val="false"/>
          <w:color w:val="000000"/>
          <w:sz w:val="24"/>
          <w:szCs w:val="24"/>
        </w:rPr>
        <w:t xml:space="preserve">. Indemnification: </w:t>
      </w:r>
      <w:r>
        <w:rPr>
          <w:rFonts w:ascii="Times New Roman" w:cs="Times New Roman" w:eastAsia="Times New Roman" w:hAnsi="Times New Roman"/>
          <w:b/>
          <w:bCs/>
          <w:color w:val="990000"/>
          <w:sz w:val="24"/>
          <w:szCs w:val="24"/>
        </w:rPr>
        <w:t xml:space="preserve">[mandatory / permissive / per RSA 304-C:116]</w:t>
      </w:r>
    </w:p>
    <w:p>
      <w:pPr>
        <w:spacing w:after="60" w:before="120" w:line="276" w:lineRule="auto"/>
      </w:pPr>
      <w:r>
        <w:rPr>
          <w:rFonts w:ascii="Times New Roman" w:cs="Times New Roman" w:eastAsia="Times New Roman" w:hAnsi="Times New Roman"/>
          <w:b/>
          <w:bCs/>
          <w:color w:val="000000"/>
          <w:sz w:val="24"/>
          <w:szCs w:val="24"/>
        </w:rPr>
        <w:t xml:space="preserve">IX.02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Company's debts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IX.03  Exculpation.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304-C:115</w:t>
      </w:r>
      <w:r>
        <w:rPr>
          <w:rFonts w:ascii="Times New Roman" w:cs="Times New Roman" w:eastAsia="Times New Roman" w:hAnsi="Times New Roman"/>
          <w:b w:val="false"/>
          <w:bCs w:val="false"/>
          <w:i w:val="false"/>
          <w:iCs w:val="false"/>
          <w:color w:val="000000"/>
          <w:sz w:val="24"/>
          <w:szCs w:val="24"/>
        </w:rPr>
        <w:t xml:space="preserve">, the operating agreement may limit or eliminate liability for duty breaches, subject to statutory limits. The </w:t>
      </w:r>
      <w:r>
        <w:rPr>
          <w:rFonts w:ascii="Times New Roman" w:cs="Times New Roman" w:eastAsia="Times New Roman" w:hAnsi="Times New Roman"/>
          <w:b/>
          <w:bCs/>
          <w:i w:val="false"/>
          <w:iCs w:val="false"/>
          <w:color w:val="000000"/>
          <w:sz w:val="24"/>
          <w:szCs w:val="24"/>
        </w:rPr>
        <w:t xml:space="preserve">implied contractual covenant of good faith and fair dealing (RSA 304-C:107, RSA 304-C:111)</w:t>
      </w:r>
      <w:r>
        <w:rPr>
          <w:rFonts w:ascii="Times New Roman" w:cs="Times New Roman" w:eastAsia="Times New Roman" w:hAnsi="Times New Roman"/>
          <w:b w:val="false"/>
          <w:bCs w:val="false"/>
          <w:i w:val="false"/>
          <w:iCs w:val="false"/>
          <w:color w:val="000000"/>
          <w:sz w:val="24"/>
          <w:szCs w:val="24"/>
        </w:rPr>
        <w:t xml:space="preserve"> cannot be eliminated by any provision of this Agreement.</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RSA 304-C:129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this Agreement or the Certificate of Formation.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authorized by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RSA 304-C:134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under </w:t>
      </w:r>
      <w:r>
        <w:rPr>
          <w:rFonts w:ascii="Times New Roman" w:cs="Times New Roman" w:eastAsia="Times New Roman" w:hAnsi="Times New Roman"/>
          <w:b/>
          <w:bCs/>
          <w:i w:val="false"/>
          <w:iCs w:val="false"/>
          <w:color w:val="000000"/>
          <w:sz w:val="24"/>
          <w:szCs w:val="24"/>
        </w:rPr>
        <w:t xml:space="preserve">RSA 304-C:136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X.02  Single-Member Continuity (RSA 304-C:131).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304-C:131</w:t>
      </w:r>
      <w:r>
        <w:rPr>
          <w:rFonts w:ascii="Times New Roman" w:cs="Times New Roman" w:eastAsia="Times New Roman" w:hAnsi="Times New Roman"/>
          <w:b w:val="false"/>
          <w:bCs w:val="false"/>
          <w:i w:val="false"/>
          <w:iCs w:val="false"/>
          <w:color w:val="000000"/>
          <w:sz w:val="24"/>
          <w:szCs w:val="24"/>
        </w:rPr>
        <w:t xml:space="preserve">, a single-member LLC is not automatically dissolved upon the sole member's death if a legal representative acts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to continue the business, or the operating agreement provides for continuation. Sole members should designate a successor or continuation procedure: </w:t>
      </w:r>
      <w:r>
        <w:rPr>
          <w:rFonts w:ascii="Times New Roman" w:cs="Times New Roman" w:eastAsia="Times New Roman" w:hAnsi="Times New Roman"/>
          <w:b/>
          <w:bCs/>
          <w:color w:val="990000"/>
          <w:sz w:val="24"/>
          <w:szCs w:val="24"/>
        </w:rPr>
        <w:t xml:space="preserve">[Designate successor member or continuation procedure]</w:t>
      </w:r>
    </w:p>
    <w:p>
      <w:pPr>
        <w:spacing w:after="60" w:before="120" w:line="276" w:lineRule="auto"/>
      </w:pPr>
      <w:r>
        <w:rPr>
          <w:rFonts w:ascii="Times New Roman" w:cs="Times New Roman" w:eastAsia="Times New Roman" w:hAnsi="Times New Roman"/>
          <w:b/>
          <w:bCs/>
          <w:color w:val="000000"/>
          <w:sz w:val="24"/>
          <w:szCs w:val="24"/>
        </w:rPr>
        <w:t xml:space="preserve">X.03  Certificate and OA Must Be Consistent.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McDonough v. McDonough, 168 N.H. 171 (2016)</w:t>
      </w:r>
      <w:r>
        <w:rPr>
          <w:rFonts w:ascii="Times New Roman" w:cs="Times New Roman" w:eastAsia="Times New Roman" w:hAnsi="Times New Roman"/>
          <w:b w:val="false"/>
          <w:bCs w:val="false"/>
          <w:i w:val="false"/>
          <w:iCs w:val="false"/>
          <w:color w:val="000000"/>
          <w:sz w:val="24"/>
          <w:szCs w:val="24"/>
        </w:rPr>
        <w:t xml:space="preserve">, ambiguity between the Certificate of Formation and the operating agreement creates litigation risk. Ensure all dissolution and continuity provisions are consistent with the Certificate of Formation.</w:t>
      </w:r>
    </w:p>
    <w:p>
      <w:pPr>
        <w:spacing w:after="60" w:before="120" w:line="276" w:lineRule="auto"/>
      </w:pPr>
      <w:r>
        <w:rPr>
          <w:rFonts w:ascii="Times New Roman" w:cs="Times New Roman" w:eastAsia="Times New Roman" w:hAnsi="Times New Roman"/>
          <w:b/>
          <w:bCs/>
          <w:color w:val="000000"/>
          <w:sz w:val="24"/>
          <w:szCs w:val="24"/>
        </w:rPr>
        <w:t xml:space="preserve">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X.05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file a Certificate of Cancellation with the New Hampshire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304-C:67</w:t>
      </w:r>
      <w:r>
        <w:rPr>
          <w:rFonts w:ascii="Times New Roman" w:cs="Times New Roman" w:eastAsia="Times New Roman" w:hAnsi="Times New Roman"/>
          <w:b w:val="false"/>
          <w:bCs w:val="false"/>
          <w:i w:val="false"/>
          <w:iCs w:val="false"/>
          <w:color w:val="000000"/>
          <w:sz w:val="24"/>
          <w:szCs w:val="24"/>
        </w:rPr>
        <w:t xml:space="preserve">, amending this Agreement requires unanimous approval by default. Members elect: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XI.02  Certificate of Formation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election or other certificate-level information requires a Certificate of Amendment filed with the </w:t>
      </w:r>
      <w:r>
        <w:rPr>
          <w:rFonts w:ascii="Times New Roman" w:cs="Times New Roman" w:eastAsia="Times New Roman" w:hAnsi="Times New Roman"/>
          <w:b/>
          <w:bCs/>
          <w:i w:val="false"/>
          <w:iCs w:val="false"/>
          <w:color w:val="000000"/>
          <w:sz w:val="24"/>
          <w:szCs w:val="24"/>
        </w:rPr>
        <w:t xml:space="preserve">New Hampshire Secretary of State</w:t>
      </w:r>
      <w:r>
        <w:rPr>
          <w:rFonts w:ascii="Times New Roman" w:cs="Times New Roman" w:eastAsia="Times New Roman" w:hAnsi="Times New Roman"/>
          <w:b w:val="false"/>
          <w:bCs w:val="false"/>
          <w:i w:val="false"/>
          <w:iCs w:val="false"/>
          <w:color w:val="000000"/>
          <w:sz w:val="24"/>
          <w:szCs w:val="24"/>
        </w:rPr>
        <w:t xml:space="preserve">. Under RSA 304-C:67, amending the Certificate requires unanimous approval by default.</w:t>
      </w:r>
    </w:p>
    <w:p>
      <w:pPr>
        <w:spacing w:after="60" w:before="120" w:line="276" w:lineRule="auto"/>
      </w:pPr>
      <w:r>
        <w:rPr>
          <w:rFonts w:ascii="Times New Roman" w:cs="Times New Roman" w:eastAsia="Times New Roman" w:hAnsi="Times New Roman"/>
          <w:b/>
          <w:bCs/>
          <w:color w:val="000000"/>
          <w:sz w:val="24"/>
          <w:szCs w:val="24"/>
        </w:rPr>
        <w:t xml:space="preserve">XI.03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Formation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Hampshire, specifically the New Hampshire Limited Liability Company Act, RSA chapter 304-C.</w:t>
      </w:r>
    </w:p>
    <w:p>
      <w:pPr>
        <w:spacing w:after="60" w:before="120" w:line="276" w:lineRule="auto"/>
      </w:pPr>
      <w:r>
        <w:rPr>
          <w:rFonts w:ascii="Times New Roman" w:cs="Times New Roman" w:eastAsia="Times New Roman" w:hAnsi="Times New Roman"/>
          <w:b/>
          <w:bCs/>
          <w:color w:val="000000"/>
          <w:sz w:val="24"/>
          <w:szCs w:val="24"/>
        </w:rPr>
        <w:t xml:space="preserve">XII.04  Internal Dispute Venue.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RSA 304-C:186</w:t>
      </w:r>
      <w:r>
        <w:rPr>
          <w:rFonts w:ascii="Times New Roman" w:cs="Times New Roman" w:eastAsia="Times New Roman" w:hAnsi="Times New Roman"/>
          <w:b w:val="false"/>
          <w:bCs w:val="false"/>
          <w:i w:val="false"/>
          <w:iCs w:val="false"/>
          <w:color w:val="000000"/>
          <w:sz w:val="24"/>
          <w:szCs w:val="24"/>
        </w:rPr>
        <w:t xml:space="preserve">, disputes over internal affairs default to </w:t>
      </w:r>
      <w:r>
        <w:rPr>
          <w:rFonts w:ascii="Times New Roman" w:cs="Times New Roman" w:eastAsia="Times New Roman" w:hAnsi="Times New Roman"/>
          <w:b/>
          <w:bCs/>
          <w:i w:val="false"/>
          <w:iCs w:val="false"/>
          <w:color w:val="000000"/>
          <w:sz w:val="24"/>
          <w:szCs w:val="24"/>
        </w:rPr>
        <w:t xml:space="preserve">New Hampshire courts</w:t>
      </w:r>
      <w:r>
        <w:rPr>
          <w:rFonts w:ascii="Times New Roman" w:cs="Times New Roman" w:eastAsia="Times New Roman" w:hAnsi="Times New Roman"/>
          <w:b w:val="false"/>
          <w:bCs w:val="false"/>
          <w:i w:val="false"/>
          <w:iCs w:val="false"/>
          <w:color w:val="000000"/>
          <w:sz w:val="24"/>
          <w:szCs w:val="24"/>
        </w:rPr>
        <w:t xml:space="preserve">. Forum elected: </w:t>
      </w:r>
      <w:r>
        <w:rPr>
          <w:rFonts w:ascii="Times New Roman" w:cs="Times New Roman" w:eastAsia="Times New Roman" w:hAnsi="Times New Roman"/>
          <w:b/>
          <w:bCs/>
          <w:color w:val="990000"/>
          <w:sz w:val="24"/>
          <w:szCs w:val="24"/>
        </w:rPr>
        <w:t xml:space="preserve">[New Hampshire courts (default) / arbitration / specify]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Hampshire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Operating Agreement. Under RSA 304-C:42, the LLC is bound even without separate LLC assent. New Hampshire does not require notarization. This Agreement is NOT filed with the New Hampshire Secretary of State.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NH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agreed values above override the contribution-based voting default (</w:t>
      </w:r>
      <w:r>
        <w:rPr>
          <w:rFonts w:ascii="Times New Roman" w:cs="Times New Roman" w:eastAsia="Times New Roman" w:hAnsi="Times New Roman"/>
          <w:b/>
          <w:bCs/>
          <w:i w:val="false"/>
          <w:iCs w:val="false"/>
          <w:color w:val="000000"/>
          <w:sz w:val="24"/>
          <w:szCs w:val="24"/>
        </w:rPr>
        <w:t xml:space="preserve">RSA 304-C:65</w:t>
      </w:r>
      <w:r>
        <w:rPr>
          <w:rFonts w:ascii="Times New Roman" w:cs="Times New Roman" w:eastAsia="Times New Roman" w:hAnsi="Times New Roman"/>
          <w:b w:val="false"/>
          <w:bCs w:val="false"/>
          <w:i w:val="false"/>
          <w:iCs w:val="false"/>
          <w:color w:val="000000"/>
          <w:sz w:val="24"/>
          <w:szCs w:val="24"/>
        </w:rPr>
        <w:t xml:space="preserve">) and profit/loss default (</w:t>
      </w:r>
      <w:r>
        <w:rPr>
          <w:rFonts w:ascii="Times New Roman" w:cs="Times New Roman" w:eastAsia="Times New Roman" w:hAnsi="Times New Roman"/>
          <w:b/>
          <w:bCs/>
          <w:i w:val="false"/>
          <w:iCs w:val="false"/>
          <w:color w:val="000000"/>
          <w:sz w:val="24"/>
          <w:szCs w:val="24"/>
        </w:rPr>
        <w:t xml:space="preserve">RSA 304-C:90</w:t>
      </w:r>
      <w:r>
        <w:rPr>
          <w:rFonts w:ascii="Times New Roman" w:cs="Times New Roman" w:eastAsia="Times New Roman" w:hAnsi="Times New Roman"/>
          <w:b w:val="false"/>
          <w:bCs w:val="false"/>
          <w:i w:val="false"/>
          <w:iCs w:val="false"/>
          <w:color w:val="000000"/>
          <w:sz w:val="24"/>
          <w:szCs w:val="24"/>
        </w:rPr>
        <w:t xml:space="preserve">). Voting power defaults to contribution share — NOT per capita — if this Exhibit is silent.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Hampshire limited liability company is provided by Boost Suite for informational and educational purposes only. It does not constitute legal advice and does not create an attorney-client relationship. Boost Suite is not a law firm. This template is based on the New Hampshire Limited Liability Company Act, RSA chapter 304-C, including RSA 304-C:16, 304-C:31, 304-C:36, 304-C:40, 304-C:41, 304-C:42, 304-C:43, 304-C:47, 304-C:52, 304-C:64, 304-C:65, 304-C:67, 304-C:90, 304-C:93, 304-C:103, 304-C:107, 304-C:108, 304-C:110, 304-C:111, 304-C:115, 304-C:116, 304-C:124, 304-C:126, 304-C:129, 304-C:131, 304-C:134, 304-C:136, 304-C:186, 304-C:191, and 304-C:194. Laws change; Boost Suite does not guarantee that this template reflects the most current version of New Hampshire law. LLCs with complex structures should have this Agreement reviewed by a licensed New Hampshire attorney.</w:t>
      </w:r>
    </w:p>
    <w:p>
      <w:r>
        <w:br/>
      </w:r>
    </w:p>
    <w:p>
      <w:pPr>
        <w:spacing w:after="80" w:before="0" w:line="276" w:lineRule="auto"/>
      </w:pPr>
      <w:r>
        <w:rPr>
          <w:rFonts w:ascii="Times New Roman" w:cs="Times New Roman" w:eastAsia="Times New Roman" w:hAnsi="Times New Roman"/>
          <w:b/>
          <w:bCs/>
          <w:sz w:val="24"/>
          <w:szCs w:val="24"/>
        </w:rPr>
        <w:t xml:space="preserve">Your New Hampshire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gwwt7ioi4v9opk1z7oc">
        <w:r>
          <w:rPr>
            <w:rFonts w:ascii="Times New Roman" w:cs="Times New Roman" w:eastAsia="Times New Roman" w:hAnsi="Times New Roman"/>
            <w:color w:val="0000CC"/>
            <w:sz w:val="24"/>
            <w:szCs w:val="24"/>
            <w:u w:val="single"/>
          </w:rPr>
          <w:t xml:space="preserve">https://boostsuite.com/llc-operating-agreement/new-hampshire/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7vo2dgrgptvj65sh1hqwi">
        <w:r>
          <w:rPr>
            <w:rFonts w:ascii="Times New Roman" w:cs="Times New Roman" w:eastAsia="Times New Roman" w:hAnsi="Times New Roman"/>
            <w:color w:val="0000CC"/>
            <w:sz w:val="24"/>
            <w:szCs w:val="24"/>
            <w:u w:val="single"/>
          </w:rPr>
          <w:t xml:space="preserve">https://boostsuite.com/how-to-start-an-llc/new-hampshire/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plqwcoxfushdssjfj7llk">
        <w:r>
          <w:rPr>
            <w:rFonts w:ascii="Times New Roman" w:cs="Times New Roman" w:eastAsia="Times New Roman" w:hAnsi="Times New Roman"/>
            <w:color w:val="0000CC"/>
            <w:sz w:val="24"/>
            <w:szCs w:val="24"/>
            <w:u w:val="single"/>
          </w:rPr>
          <w:t xml:space="preserve">https://boostsuite.com/how-to-start-an-llc/cost/new-hampshire/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jgwwt7ioi4v9opk1z7oc" Type="http://schemas.openxmlformats.org/officeDocument/2006/relationships/hyperlink" Target="https://boostsuite.com/llc-operating-agreement/new-hampshire/" TargetMode="External"/><Relationship Id="rId7vo2dgrgptvj65sh1hqwi" Type="http://schemas.openxmlformats.org/officeDocument/2006/relationships/hyperlink" Target="https://boostsuite.com/how-to-start-an-llc/new-hampshire/" TargetMode="External"/><Relationship Id="rIdplqwcoxfushdssjfj7llk" Type="http://schemas.openxmlformats.org/officeDocument/2006/relationships/hyperlink" Target="https://boostsuite.com/how-to-start-an-llc/cost/new-hampshir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2026-04-19T08:14:29.008Z</dcterms:created>
  <dcterms:modified xsi:type="dcterms:W3CDTF">2026-04-19T08:14:29.008Z</dcterms:modified>
</cp:coreProperties>
</file>

<file path=docProps/custom.xml><?xml version="1.0" encoding="utf-8"?>
<Properties xmlns="http://schemas.openxmlformats.org/officeDocument/2006/custom-properties" xmlns:vt="http://schemas.openxmlformats.org/officeDocument/2006/docPropsVTypes"/>
</file>