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MONTANA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Montana Limited Liability Company Act, Title 35, Chapter 8, MCA</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Montana Limited Liability Company Act, Title 35, Chapter 8, MCA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 including punctuation]</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Montana Secretary of State, Business Services Division through the biz.sosmt.gov portal. Filing fee: </w:t>
      </w:r>
      <w:r>
        <w:rPr>
          <w:rFonts w:ascii="Times New Roman" w:cs="Times New Roman" w:eastAsia="Times New Roman" w:hAnsi="Times New Roman"/>
          <w:b/>
          <w:bCs/>
          <w:i w:val="false"/>
          <w:iCs w:val="false"/>
          <w:color w:val="000000"/>
          <w:sz w:val="24"/>
          <w:szCs w:val="24"/>
        </w:rPr>
        <w:t xml:space="preserve">$35</w:t>
      </w:r>
      <w:r>
        <w:rPr>
          <w:rFonts w:ascii="Times New Roman" w:cs="Times New Roman" w:eastAsia="Times New Roman" w:hAnsi="Times New Roman"/>
          <w:b w:val="false"/>
          <w:bCs w:val="false"/>
          <w:i w:val="false"/>
          <w:iCs w:val="false"/>
          <w:color w:val="000000"/>
          <w:sz w:val="24"/>
          <w:szCs w:val="24"/>
        </w:rPr>
        <w:t xml:space="preserve"> (plus $50 per series member named in a series LLC). The Articles must include the management structure statement and relevant member/manager names per 35-8-202(1)(d), MCA. This Operating Agreement is NOT filed with the Montana Secretary of State, Business Services Division.</w:t>
      </w:r>
    </w:p>
    <w:p>
      <w:pPr>
        <w:spacing w:after="60" w:before="120" w:line="276" w:lineRule="auto"/>
      </w:pPr>
      <w:r>
        <w:rPr>
          <w:rFonts w:ascii="Times New Roman" w:cs="Times New Roman" w:eastAsia="Times New Roman" w:hAnsi="Times New Roman"/>
          <w:b/>
          <w:bCs/>
          <w:color w:val="000000"/>
          <w:sz w:val="24"/>
          <w:szCs w:val="24"/>
        </w:rPr>
        <w:t xml:space="preserve">1.04  Operating Agreement — Not Required, Written Overrides Critical.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 a Montana LLC is NOT required to adopt an operating agreement, and the agreement </w:t>
      </w:r>
      <w:r>
        <w:rPr>
          <w:rFonts w:ascii="Times New Roman" w:cs="Times New Roman" w:eastAsia="Times New Roman" w:hAnsi="Times New Roman"/>
          <w:b/>
          <w:bCs/>
          <w:i w:val="false"/>
          <w:iCs w:val="false"/>
          <w:color w:val="000000"/>
          <w:sz w:val="24"/>
          <w:szCs w:val="24"/>
        </w:rPr>
        <w:t xml:space="preserve">NEED NOT BE IN WRITING</w:t>
      </w:r>
      <w:r>
        <w:rPr>
          <w:rFonts w:ascii="Times New Roman" w:cs="Times New Roman" w:eastAsia="Times New Roman" w:hAnsi="Times New Roman"/>
          <w:b w:val="false"/>
          <w:bCs w:val="false"/>
          <w:i w:val="false"/>
          <w:iCs w:val="false"/>
          <w:color w:val="000000"/>
          <w:sz w:val="24"/>
          <w:szCs w:val="24"/>
        </w:rPr>
        <w:t xml:space="preserve"> for most purposes. However, certain overrides are ONLY effective if in writing: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Varying records/information access under 35-8-405, MCA.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Varying distribution rights under 35-8-601 or 35-8-903, MCA.</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Varying member-admission mechanics under 35-8-707, MCA.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have elected to execute this WRITTEN Agreement to ensure enforceability of all overrides.</w:t>
      </w:r>
    </w:p>
    <w:p>
      <w:pPr>
        <w:spacing w:after="60" w:before="120" w:line="276" w:lineRule="auto"/>
      </w:pPr>
      <w:r>
        <w:rPr>
          <w:rFonts w:ascii="Times New Roman" w:cs="Times New Roman" w:eastAsia="Times New Roman" w:hAnsi="Times New Roman"/>
          <w:b/>
          <w:bCs/>
          <w:color w:val="000000"/>
          <w:sz w:val="24"/>
          <w:szCs w:val="24"/>
        </w:rPr>
        <w:t xml:space="preserve">1.05  2025 Amendments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House Bill 898 (Chapter 749, Laws of Montana 2025) amended 35-8-109 and 35-8-307 ${MCA}: (a) </w:t>
      </w:r>
      <w:r>
        <w:rPr>
          <w:rFonts w:ascii="Times New Roman" w:cs="Times New Roman" w:eastAsia="Times New Roman" w:hAnsi="Times New Roman"/>
          <w:b/>
          <w:bCs/>
          <w:i w:val="false"/>
          <w:iCs w:val="false"/>
          <w:color w:val="000000"/>
          <w:sz w:val="24"/>
          <w:szCs w:val="24"/>
        </w:rPr>
        <w:t xml:space="preserve">35-8-109(2), MCA</w:t>
      </w:r>
      <w:r>
        <w:rPr>
          <w:rFonts w:ascii="Times New Roman" w:cs="Times New Roman" w:eastAsia="Times New Roman" w:hAnsi="Times New Roman"/>
          <w:b w:val="false"/>
          <w:bCs w:val="false"/>
          <w:i w:val="false"/>
          <w:iCs w:val="false"/>
          <w:color w:val="000000"/>
          <w:sz w:val="24"/>
          <w:szCs w:val="24"/>
        </w:rPr>
        <w:t xml:space="preserve"> now ties OA interpretation to Montana's general contract-law rules in Title 28, Chapter 3, ${MCA}; (b) </w:t>
      </w:r>
      <w:r>
        <w:rPr>
          <w:rFonts w:ascii="Times New Roman" w:cs="Times New Roman" w:eastAsia="Times New Roman" w:hAnsi="Times New Roman"/>
          <w:b/>
          <w:bCs/>
          <w:i w:val="false"/>
          <w:iCs w:val="false"/>
          <w:color w:val="000000"/>
          <w:sz w:val="24"/>
          <w:szCs w:val="24"/>
        </w:rPr>
        <w:t xml:space="preserve">35-8-307, MCA</w:t>
      </w:r>
      <w:r>
        <w:rPr>
          <w:rFonts w:ascii="Times New Roman" w:cs="Times New Roman" w:eastAsia="Times New Roman" w:hAnsi="Times New Roman"/>
          <w:b w:val="false"/>
          <w:bCs w:val="false"/>
          <w:i w:val="false"/>
          <w:iCs w:val="false"/>
          <w:color w:val="000000"/>
          <w:sz w:val="24"/>
          <w:szCs w:val="24"/>
        </w:rPr>
        <w:t xml:space="preserve"> amendments address dissolution ambiguity. Review the amendment and interpretation clauses if drafted before 2025.</w:t>
      </w:r>
    </w:p>
    <w:p>
      <w:pPr>
        <w:spacing w:after="60" w:before="120" w:line="276" w:lineRule="auto"/>
      </w:pPr>
      <w:r>
        <w:rPr>
          <w:rFonts w:ascii="Times New Roman" w:cs="Times New Roman" w:eastAsia="Times New Roman" w:hAnsi="Times New Roman"/>
          <w:b/>
          <w:bCs/>
          <w:color w:val="000000"/>
          <w:sz w:val="24"/>
          <w:szCs w:val="24"/>
        </w:rPr>
        <w:t xml:space="preserve">1.06  Nonwaivable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35-8-109(3), MCA</w:t>
      </w:r>
      <w:r>
        <w:rPr>
          <w:rFonts w:ascii="Times New Roman" w:cs="Times New Roman" w:eastAsia="Times New Roman" w:hAnsi="Times New Roman"/>
          <w:b w:val="false"/>
          <w:bCs w:val="false"/>
          <w:i w:val="false"/>
          <w:iCs w:val="false"/>
          <w:color w:val="000000"/>
          <w:sz w:val="24"/>
          <w:szCs w:val="24"/>
        </w:rPr>
        <w:t xml:space="preserve">, this Agreement may NOT: (a) eliminate the </w:t>
      </w:r>
      <w:r>
        <w:rPr>
          <w:rFonts w:ascii="Times New Roman" w:cs="Times New Roman" w:eastAsia="Times New Roman" w:hAnsi="Times New Roman"/>
          <w:b/>
          <w:bCs/>
          <w:i w:val="false"/>
          <w:iCs w:val="false"/>
          <w:color w:val="000000"/>
          <w:sz w:val="24"/>
          <w:szCs w:val="24"/>
        </w:rPr>
        <w:t xml:space="preserve">duty of loyalty</w:t>
      </w:r>
      <w:r>
        <w:rPr>
          <w:rFonts w:ascii="Times New Roman" w:cs="Times New Roman" w:eastAsia="Times New Roman" w:hAnsi="Times New Roman"/>
          <w:b w:val="false"/>
          <w:bCs w:val="false"/>
          <w:i w:val="false"/>
          <w:iCs w:val="false"/>
          <w:color w:val="000000"/>
          <w:sz w:val="24"/>
          <w:szCs w:val="24"/>
        </w:rPr>
        <w:t xml:space="preserve">; (b) unreasonably reduce the </w:t>
      </w:r>
      <w:r>
        <w:rPr>
          <w:rFonts w:ascii="Times New Roman" w:cs="Times New Roman" w:eastAsia="Times New Roman" w:hAnsi="Times New Roman"/>
          <w:b/>
          <w:bCs/>
          <w:i w:val="false"/>
          <w:iCs w:val="false"/>
          <w:color w:val="000000"/>
          <w:sz w:val="24"/>
          <w:szCs w:val="24"/>
        </w:rPr>
        <w:t xml:space="preserve">duty of care</w:t>
      </w:r>
      <w:r>
        <w:rPr>
          <w:rFonts w:ascii="Times New Roman" w:cs="Times New Roman" w:eastAsia="Times New Roman" w:hAnsi="Times New Roman"/>
          <w:b w:val="false"/>
          <w:bCs w:val="false"/>
          <w:i w:val="false"/>
          <w:iCs w:val="false"/>
          <w:color w:val="000000"/>
          <w:sz w:val="24"/>
          <w:szCs w:val="24"/>
        </w:rPr>
        <w:t xml:space="preserve">; (c) eliminate the obligation of </w:t>
      </w:r>
      <w:r>
        <w:rPr>
          <w:rFonts w:ascii="Times New Roman" w:cs="Times New Roman" w:eastAsia="Times New Roman" w:hAnsi="Times New Roman"/>
          <w:b/>
          <w:bCs/>
          <w:i w:val="false"/>
          <w:iCs w:val="false"/>
          <w:color w:val="000000"/>
          <w:sz w:val="24"/>
          <w:szCs w:val="24"/>
        </w:rPr>
        <w:t xml:space="preserve">good faith and fair dealing</w:t>
      </w:r>
      <w:r>
        <w:rPr>
          <w:rFonts w:ascii="Times New Roman" w:cs="Times New Roman" w:eastAsia="Times New Roman" w:hAnsi="Times New Roman"/>
          <w:b w:val="false"/>
          <w:bCs w:val="false"/>
          <w:i w:val="false"/>
          <w:iCs w:val="false"/>
          <w:color w:val="000000"/>
          <w:sz w:val="24"/>
          <w:szCs w:val="24"/>
        </w:rPr>
        <w:t xml:space="preserve">; (d) unreasonably restrict records rights under 35-8-405; (e) vary the right to expel a member under 35-8-803(2)(c); (f) restrict winding-up requirements under 35-8-902(2)(b); or (g) restrict rights of third persons.</w:t>
      </w:r>
    </w:p>
    <w:p>
      <w:pPr>
        <w:spacing w:after="60" w:before="120" w:line="276" w:lineRule="auto"/>
      </w:pPr>
      <w:r>
        <w:rPr>
          <w:rFonts w:ascii="Times New Roman" w:cs="Times New Roman" w:eastAsia="Times New Roman" w:hAnsi="Times New Roman"/>
          <w:b/>
          <w:bCs/>
          <w:color w:val="000000"/>
          <w:sz w:val="24"/>
          <w:szCs w:val="24"/>
        </w:rPr>
        <w:t xml:space="preserve">1.07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Every Montana LLC must maintain a registered agent per 35-7-105(1), MCA. Registered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MT ZIP]</w:t>
      </w:r>
    </w:p>
    <w:p>
      <w:pPr>
        <w:spacing w:after="60" w:before="120" w:line="276" w:lineRule="auto"/>
      </w:pPr>
      <w:r>
        <w:rPr>
          <w:rFonts w:ascii="Times New Roman" w:cs="Times New Roman" w:eastAsia="Times New Roman" w:hAnsi="Times New Roman"/>
          <w:b/>
          <w:bCs/>
          <w:color w:val="000000"/>
          <w:sz w:val="24"/>
          <w:szCs w:val="24"/>
        </w:rPr>
        <w:t xml:space="preserve">1.08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MT ZIP]</w:t>
      </w:r>
    </w:p>
    <w:p>
      <w:pPr>
        <w:spacing w:after="60" w:before="120" w:line="276" w:lineRule="auto"/>
      </w:pPr>
      <w:r>
        <w:rPr>
          <w:rFonts w:ascii="Times New Roman" w:cs="Times New Roman" w:eastAsia="Times New Roman" w:hAnsi="Times New Roman"/>
          <w:b/>
          <w:bCs/>
          <w:color w:val="000000"/>
          <w:sz w:val="24"/>
          <w:szCs w:val="24"/>
        </w:rPr>
        <w:t xml:space="preserve">1.09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1.10  Annual Report.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Annual reports due </w:t>
      </w:r>
      <w:r>
        <w:rPr>
          <w:rFonts w:ascii="Times New Roman" w:cs="Times New Roman" w:eastAsia="Times New Roman" w:hAnsi="Times New Roman"/>
          <w:b/>
          <w:bCs/>
          <w:i w:val="false"/>
          <w:iCs w:val="false"/>
          <w:color w:val="000000"/>
          <w:sz w:val="24"/>
          <w:szCs w:val="24"/>
        </w:rPr>
        <w:t xml:space="preserve">January 1 through April 15</w:t>
      </w:r>
      <w:r>
        <w:rPr>
          <w:rFonts w:ascii="Times New Roman" w:cs="Times New Roman" w:eastAsia="Times New Roman" w:hAnsi="Times New Roman"/>
          <w:b w:val="false"/>
          <w:bCs w:val="false"/>
          <w:i w:val="false"/>
          <w:iCs w:val="false"/>
          <w:color w:val="000000"/>
          <w:sz w:val="24"/>
          <w:szCs w:val="24"/>
        </w:rPr>
        <w:t xml:space="preserve"> each year (35-8-208, MCA). Standard fees: </w:t>
      </w:r>
      <w:r>
        <w:rPr>
          <w:rFonts w:ascii="Times New Roman" w:cs="Times New Roman" w:eastAsia="Times New Roman" w:hAnsi="Times New Roman"/>
          <w:b/>
          <w:bCs/>
          <w:i w:val="false"/>
          <w:iCs w:val="false"/>
          <w:color w:val="000000"/>
          <w:sz w:val="24"/>
          <w:szCs w:val="24"/>
        </w:rPr>
        <w:t xml:space="preserve">$20 by April 15 / $35 if late</w:t>
      </w:r>
      <w:r>
        <w:rPr>
          <w:rFonts w:ascii="Times New Roman" w:cs="Times New Roman" w:eastAsia="Times New Roman" w:hAnsi="Times New Roman"/>
          <w:b w:val="false"/>
          <w:bCs w:val="false"/>
          <w:i w:val="false"/>
          <w:iCs w:val="false"/>
          <w:color w:val="000000"/>
          <w:sz w:val="24"/>
          <w:szCs w:val="24"/>
        </w:rPr>
        <w:t xml:space="preserve">. IMPORTANT: the official SOS 2026 announcement states the </w:t>
      </w:r>
      <w:r>
        <w:rPr>
          <w:rFonts w:ascii="Times New Roman" w:cs="Times New Roman" w:eastAsia="Times New Roman" w:hAnsi="Times New Roman"/>
          <w:b/>
          <w:bCs/>
          <w:i w:val="false"/>
          <w:iCs w:val="false"/>
          <w:color w:val="000000"/>
          <w:sz w:val="24"/>
          <w:szCs w:val="24"/>
        </w:rPr>
        <w:t xml:space="preserve">2026 annual report filing fee is WAIVED</w:t>
      </w:r>
      <w:r>
        <w:rPr>
          <w:rFonts w:ascii="Times New Roman" w:cs="Times New Roman" w:eastAsia="Times New Roman" w:hAnsi="Times New Roman"/>
          <w:b w:val="false"/>
          <w:bCs w:val="false"/>
          <w:i w:val="false"/>
          <w:iCs w:val="false"/>
          <w:color w:val="000000"/>
          <w:sz w:val="24"/>
          <w:szCs w:val="24"/>
        </w:rPr>
        <w:t xml:space="preserve">. File by April 15 regardless — the waiver may not continue in future years.</w:t>
      </w:r>
    </w:p>
    <w:p>
      <w:pPr>
        <w:spacing w:after="60" w:before="120" w:line="276" w:lineRule="auto"/>
      </w:pPr>
      <w:r>
        <w:rPr>
          <w:rFonts w:ascii="Times New Roman" w:cs="Times New Roman" w:eastAsia="Times New Roman" w:hAnsi="Times New Roman"/>
          <w:b/>
          <w:bCs/>
          <w:color w:val="000000"/>
          <w:sz w:val="24"/>
          <w:szCs w:val="24"/>
        </w:rPr>
        <w:t xml:space="preserve">1.11  No Publication / No Franchise Tax.</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Montana LLC </w:t>
      </w:r>
      <w:r>
        <w:rPr>
          <w:rFonts w:ascii="Times New Roman" w:cs="Times New Roman" w:eastAsia="Times New Roman" w:hAnsi="Times New Roman"/>
          <w:b/>
          <w:bCs/>
          <w:i w:val="false"/>
          <w:iCs w:val="false"/>
          <w:color w:val="000000"/>
          <w:sz w:val="24"/>
          <w:szCs w:val="24"/>
        </w:rPr>
        <w:t xml:space="preserve">publication requirement</w:t>
      </w:r>
      <w:r>
        <w:rPr>
          <w:rFonts w:ascii="Times New Roman" w:cs="Times New Roman" w:eastAsia="Times New Roman" w:hAnsi="Times New Roman"/>
          <w:b w:val="false"/>
          <w:bCs w:val="false"/>
          <w:i w:val="false"/>
          <w:iCs w:val="false"/>
          <w:color w:val="000000"/>
          <w:sz w:val="24"/>
          <w:szCs w:val="24"/>
        </w:rPr>
        <w:t xml:space="preserve"> was identified in current Montana Secretary of State, Business Services Division materials or the Montana LLC formation statutes. Montana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separate LLC franchise tax. Montana LLCs are pass-through entities by default.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Montana Limited Liability Company Act, Title 35, Chapter 8, MCA, as amended, including the 2025 amendments.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Montana Secretary of State, Business Services Division,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"Distributional Interest" means the right to receive distributions. Under 35-8-707, MCA, a transferee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"Dissociation" means an event under 35-8-803, MCA (withdrawal, expulsion, bankruptcy, death, incapacity) causing a Member to cease being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"Equal-Sharing Default" means the statutory rule under 35-8-503 and 35-8-601(1), MCA that profits, losses, surpluses, and distributions are shared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 not proportionally — absent a written operating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CRITICAL MONTANA TRAP: Under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if this Agreement did not exist, profits, losses, and surpluses would be shared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 not proportionally. Under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interim distributions would likewise be equal. A WRITTEN OA is required to override both defaults.</w:t>
      </w:r>
    </w:p>
    <w:p>
      <w:pPr>
        <w:spacing w:after="60" w:before="120" w:line="276" w:lineRule="auto"/>
      </w:pPr>
      <w:r>
        <w:rPr>
          <w:rFonts w:ascii="Times New Roman" w:cs="Times New Roman" w:eastAsia="Times New Roman" w:hAnsi="Times New Roman"/>
          <w:b/>
          <w:bCs/>
          <w:color w:val="000000"/>
          <w:sz w:val="24"/>
          <w:szCs w:val="24"/>
        </w:rPr>
        <w:t xml:space="preserve">III.02  Equal-Sharing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the default splits profits, losses, and surpluses equally after returning contributions. Under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interim distributions default to equal shares. A </w:t>
      </w:r>
      <w:r>
        <w:rPr>
          <w:rFonts w:ascii="Times New Roman" w:cs="Times New Roman" w:eastAsia="Times New Roman" w:hAnsi="Times New Roman"/>
          <w:b/>
          <w:bCs/>
          <w:i w:val="false"/>
          <w:iCs w:val="false"/>
          <w:color w:val="000000"/>
          <w:sz w:val="24"/>
          <w:szCs w:val="24"/>
        </w:rPr>
        <w:t xml:space="preserve">WRITTEN operating agreement is REQUIRED</w:t>
      </w:r>
      <w:r>
        <w:rPr>
          <w:rFonts w:ascii="Times New Roman" w:cs="Times New Roman" w:eastAsia="Times New Roman" w:hAnsi="Times New Roman"/>
          <w:b w:val="false"/>
          <w:bCs w:val="false"/>
          <w:i w:val="false"/>
          <w:iCs w:val="false"/>
          <w:color w:val="000000"/>
          <w:sz w:val="24"/>
          <w:szCs w:val="24"/>
        </w:rPr>
        <w:t xml:space="preserve"> to override both (35-8-109(1), MCA). The Members override these defaults: all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equal-sharing default of </w:t>
      </w:r>
      <w:r>
        <w:rPr>
          <w:rFonts w:ascii="Times New Roman" w:cs="Times New Roman" w:eastAsia="Times New Roman" w:hAnsi="Times New Roman"/>
          <w:b/>
          <w:bCs/>
          <w:i w:val="false"/>
          <w:iCs w:val="false"/>
          <w:color w:val="000000"/>
          <w:sz w:val="24"/>
          <w:szCs w:val="24"/>
        </w:rPr>
        <w:t xml:space="preserve">35-8-503, MCA</w:t>
      </w:r>
      <w:r>
        <w:rPr>
          <w:rFonts w:ascii="Times New Roman" w:cs="Times New Roman" w:eastAsia="Times New Roman" w:hAnsi="Times New Roman"/>
          <w:b w:val="false"/>
          <w:bCs w:val="false"/>
          <w:i w:val="false"/>
          <w:iCs w:val="false"/>
          <w:color w:val="000000"/>
          <w:sz w:val="24"/>
          <w:szCs w:val="24"/>
        </w:rPr>
        <w:t xml:space="preserve">. A WRITTEN OA is required for this override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the equal default of </w:t>
      </w:r>
      <w:r>
        <w:rPr>
          <w:rFonts w:ascii="Times New Roman" w:cs="Times New Roman" w:eastAsia="Times New Roman" w:hAnsi="Times New Roman"/>
          <w:b/>
          <w:bCs/>
          <w:i w:val="false"/>
          <w:iCs w:val="false"/>
          <w:color w:val="000000"/>
          <w:sz w:val="24"/>
          <w:szCs w:val="24"/>
        </w:rPr>
        <w:t xml:space="preserve">35-8-601(1), MCA</w:t>
      </w:r>
      <w:r>
        <w:rPr>
          <w:rFonts w:ascii="Times New Roman" w:cs="Times New Roman" w:eastAsia="Times New Roman" w:hAnsi="Times New Roman"/>
          <w:b w:val="false"/>
          <w:bCs w:val="false"/>
          <w:i w:val="false"/>
          <w:iCs w:val="false"/>
          <w:color w:val="000000"/>
          <w:sz w:val="24"/>
          <w:szCs w:val="24"/>
        </w:rPr>
        <w:t xml:space="preserve">. A WRITTEN OA is required.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Montana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single-member LLCs are disregarded entities; multi-member LLCs are partnerships by default; corporate election via Form 8832 or Form 2553. Montana follows the federal pass-through classification. Each Member reports their share using the </w:t>
      </w:r>
      <w:r>
        <w:rPr>
          <w:rFonts w:ascii="Times New Roman" w:cs="Times New Roman" w:eastAsia="Times New Roman" w:hAnsi="Times New Roman"/>
          <w:b/>
          <w:bCs/>
          <w:i w:val="false"/>
          <w:iCs w:val="false"/>
          <w:color w:val="000000"/>
          <w:sz w:val="24"/>
          <w:szCs w:val="24"/>
        </w:rPr>
        <w:t xml:space="preserve">Montana Schedule K-1</w:t>
      </w:r>
      <w:r>
        <w:rPr>
          <w:rFonts w:ascii="Times New Roman" w:cs="Times New Roman" w:eastAsia="Times New Roman" w:hAnsi="Times New Roman"/>
          <w:b w:val="false"/>
          <w:bCs w:val="false"/>
          <w:i w:val="false"/>
          <w:iCs w:val="false"/>
          <w:color w:val="000000"/>
          <w:sz w:val="24"/>
          <w:szCs w:val="24"/>
        </w:rPr>
        <w:t xml:space="preserve">. Montana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impose a separate LLC franchise tax.</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member-managed by the Sole Member. The Articles do NOT state 'manager-managed' per 35-8-202(1)(d), MCA. The Sole Member has full authority to manage and bind the Company.</w:t>
      </w:r>
    </w:p>
    <w:p>
      <w:pPr>
        <w:spacing w:after="60" w:before="120" w:line="276" w:lineRule="auto"/>
      </w:pPr>
      <w:r>
        <w:rPr>
          <w:rFonts w:ascii="Times New Roman" w:cs="Times New Roman" w:eastAsia="Times New Roman" w:hAnsi="Times New Roman"/>
          <w:b/>
          <w:bCs/>
          <w:color w:val="000000"/>
          <w:sz w:val="24"/>
          <w:szCs w:val="24"/>
        </w:rPr>
        <w:t xml:space="preserve">5.02  Written Declaration — Montana Specifics.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 a Montana operating agreement need not be in writing for most purposes. However, the Sole Member has elected this WRITTEN Agreement because a written OA is </w:t>
      </w:r>
      <w:r>
        <w:rPr>
          <w:rFonts w:ascii="Times New Roman" w:cs="Times New Roman" w:eastAsia="Times New Roman" w:hAnsi="Times New Roman"/>
          <w:b/>
          <w:bCs/>
          <w:i w:val="false"/>
          <w:iCs w:val="false"/>
          <w:color w:val="000000"/>
          <w:sz w:val="24"/>
          <w:szCs w:val="24"/>
        </w:rPr>
        <w:t xml:space="preserve">REQUIRED</w:t>
      </w:r>
      <w:r>
        <w:rPr>
          <w:rFonts w:ascii="Times New Roman" w:cs="Times New Roman" w:eastAsia="Times New Roman" w:hAnsi="Times New Roman"/>
          <w:b w:val="false"/>
          <w:bCs w:val="false"/>
          <w:i w:val="false"/>
          <w:iCs w:val="false"/>
          <w:color w:val="000000"/>
          <w:sz w:val="24"/>
          <w:szCs w:val="24"/>
        </w:rPr>
        <w:t xml:space="preserve"> to override: (a) distribution rules (35-8-601); (b) recordkeeping access (35-8-405); and (c) member-admission mechanics (35-8-707).</w:t>
      </w:r>
    </w:p>
    <w:p>
      <w:pPr>
        <w:spacing w:after="60" w:before="120" w:line="276" w:lineRule="auto"/>
      </w:pPr>
      <w:r>
        <w:rPr>
          <w:rFonts w:ascii="Times New Roman" w:cs="Times New Roman" w:eastAsia="Times New Roman" w:hAnsi="Times New Roman"/>
          <w:b/>
          <w:bCs/>
          <w:color w:val="000000"/>
          <w:sz w:val="24"/>
          <w:szCs w:val="24"/>
        </w:rPr>
        <w:t xml:space="preserve">5.03  Single-Member Recognition.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Montana allows formation by one or more persons (</w:t>
      </w:r>
      <w:r>
        <w:rPr>
          <w:rFonts w:ascii="Times New Roman" w:cs="Times New Roman" w:eastAsia="Times New Roman" w:hAnsi="Times New Roman"/>
          <w:b/>
          <w:bCs/>
          <w:i w:val="false"/>
          <w:iCs w:val="false"/>
          <w:color w:val="000000"/>
          <w:sz w:val="24"/>
          <w:szCs w:val="24"/>
        </w:rPr>
        <w:t xml:space="preserve">35-8-201(1), MCA</w:t>
      </w:r>
      <w:r>
        <w:rPr>
          <w:rFonts w:ascii="Times New Roman" w:cs="Times New Roman" w:eastAsia="Times New Roman" w:hAnsi="Times New Roman"/>
          <w:b w:val="false"/>
          <w:bCs w:val="false"/>
          <w:i w:val="false"/>
          <w:iCs w:val="false"/>
          <w:color w:val="000000"/>
          <w:sz w:val="24"/>
          <w:szCs w:val="24"/>
        </w:rPr>
        <w:t xml:space="preserve">). Sole Member's ownership: 100% as confirmed in Exhibit 1.</w:t>
      </w:r>
    </w:p>
    <w:p>
      <w:pPr>
        <w:spacing w:after="60" w:before="120" w:line="276" w:lineRule="auto"/>
      </w:pPr>
      <w:r>
        <w:rPr>
          <w:rFonts w:ascii="Times New Roman" w:cs="Times New Roman" w:eastAsia="Times New Roman" w:hAnsi="Times New Roman"/>
          <w:b/>
          <w:bCs/>
          <w:color w:val="000000"/>
          <w:sz w:val="24"/>
          <w:szCs w:val="24"/>
        </w:rPr>
        <w:t xml:space="preserve">5.04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35-8-304(1)-(2), MCA</w:t>
      </w:r>
      <w:r>
        <w:rPr>
          <w:rFonts w:ascii="Times New Roman" w:cs="Times New Roman" w:eastAsia="Times New Roman" w:hAnsi="Times New Roman"/>
          <w:b w:val="false"/>
          <w:bCs w:val="false"/>
          <w:i w:val="false"/>
          <w:iCs w:val="false"/>
          <w:color w:val="000000"/>
          <w:sz w:val="24"/>
          <w:szCs w:val="24"/>
        </w:rPr>
        <w:t xml:space="preserve">, the Sole Member is not personally liable for Company debts solely by reason of membership, and failure to observe formalities is NOT grounds for personal liability.</w:t>
      </w:r>
    </w:p>
    <w:p>
      <w:pPr>
        <w:spacing w:after="60" w:before="120" w:line="276" w:lineRule="auto"/>
      </w:pPr>
      <w:r>
        <w:rPr>
          <w:rFonts w:ascii="Times New Roman" w:cs="Times New Roman" w:eastAsia="Times New Roman" w:hAnsi="Times New Roman"/>
          <w:b/>
          <w:bCs/>
          <w:color w:val="000000"/>
          <w:sz w:val="24"/>
          <w:szCs w:val="24"/>
        </w:rPr>
        <w:t xml:space="preserve">5.05  Opt-In Personal Liability — Montana Unique.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35-8-304(3), MCA</w:t>
      </w:r>
      <w:r>
        <w:rPr>
          <w:rFonts w:ascii="Times New Roman" w:cs="Times New Roman" w:eastAsia="Times New Roman" w:hAnsi="Times New Roman"/>
          <w:b w:val="false"/>
          <w:bCs w:val="false"/>
          <w:i w:val="false"/>
          <w:iCs w:val="false"/>
          <w:color w:val="000000"/>
          <w:sz w:val="24"/>
          <w:szCs w:val="24"/>
        </w:rPr>
        <w:t xml:space="preserve">, a Sole Member may agree to be personally liable if the Articles so provide and the member consents in writing. Elected: </w:t>
      </w:r>
      <w:r>
        <w:rPr>
          <w:rFonts w:ascii="Times New Roman" w:cs="Times New Roman" w:eastAsia="Times New Roman" w:hAnsi="Times New Roman"/>
          <w:b/>
          <w:bCs/>
          <w:color w:val="990000"/>
          <w:sz w:val="24"/>
          <w:szCs w:val="24"/>
        </w:rPr>
        <w:t xml:space="preserve">[No (standard) / As specified in Articles]</w:t>
      </w:r>
    </w:p>
    <w:p>
      <w:pPr>
        <w:spacing w:after="60" w:before="120" w:line="276" w:lineRule="auto"/>
      </w:pPr>
      <w:r>
        <w:rPr>
          <w:rFonts w:ascii="Times New Roman" w:cs="Times New Roman" w:eastAsia="Times New Roman" w:hAnsi="Times New Roman"/>
          <w:b/>
          <w:bCs/>
          <w:color w:val="000000"/>
          <w:sz w:val="24"/>
          <w:szCs w:val="24"/>
        </w:rPr>
        <w:t xml:space="preserve">5.06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5.07  Good Faith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good faith and fair dealing obligation cannot be eliminated (</w:t>
      </w:r>
      <w:r>
        <w:rPr>
          <w:rFonts w:ascii="Times New Roman" w:cs="Times New Roman" w:eastAsia="Times New Roman" w:hAnsi="Times New Roman"/>
          <w:b/>
          <w:bCs/>
          <w:i w:val="false"/>
          <w:iCs w:val="false"/>
          <w:color w:val="000000"/>
          <w:sz w:val="24"/>
          <w:szCs w:val="24"/>
        </w:rPr>
        <w:t xml:space="preserve">35-8-109(3), MCA</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Distributional Interest vs. Full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35-8-707, MCA</w:t>
      </w:r>
      <w:r>
        <w:rPr>
          <w:rFonts w:ascii="Times New Roman" w:cs="Times New Roman" w:eastAsia="Times New Roman" w:hAnsi="Times New Roman"/>
          <w:b w:val="false"/>
          <w:bCs w:val="false"/>
          <w:i w:val="false"/>
          <w:iCs w:val="false"/>
          <w:color w:val="000000"/>
          <w:sz w:val="24"/>
          <w:szCs w:val="24"/>
        </w:rPr>
        <w:t xml:space="preserve">, a transferee of a distributional interest does NOT automatically become a Member. The transferee receives only the right to distributions. A </w:t>
      </w:r>
      <w:r>
        <w:rPr>
          <w:rFonts w:ascii="Times New Roman" w:cs="Times New Roman" w:eastAsia="Times New Roman" w:hAnsi="Times New Roman"/>
          <w:b/>
          <w:bCs/>
          <w:i w:val="false"/>
          <w:iCs w:val="false"/>
          <w:color w:val="000000"/>
          <w:sz w:val="24"/>
          <w:szCs w:val="24"/>
        </w:rPr>
        <w:t xml:space="preserve">WRITTEN OA is REQUIRED</w:t>
      </w:r>
      <w:r>
        <w:rPr>
          <w:rFonts w:ascii="Times New Roman" w:cs="Times New Roman" w:eastAsia="Times New Roman" w:hAnsi="Times New Roman"/>
          <w:b w:val="false"/>
          <w:bCs w:val="false"/>
          <w:i w:val="false"/>
          <w:iCs w:val="false"/>
          <w:color w:val="000000"/>
          <w:sz w:val="24"/>
          <w:szCs w:val="24"/>
        </w:rPr>
        <w:t xml:space="preserve"> to vary member-admission mechanics (35-8-109(1), MCA).</w:t>
      </w:r>
    </w:p>
    <w:p>
      <w:pPr>
        <w:spacing w:after="60" w:before="120" w:line="276" w:lineRule="auto"/>
      </w:pPr>
      <w:r>
        <w:rPr>
          <w:rFonts w:ascii="Times New Roman" w:cs="Times New Roman" w:eastAsia="Times New Roman" w:hAnsi="Times New Roman"/>
          <w:b/>
          <w:bCs/>
          <w:color w:val="000000"/>
          <w:sz w:val="24"/>
          <w:szCs w:val="24"/>
        </w:rPr>
        <w:t xml:space="preserve">VI.02  Charging Order.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charging order is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against a Member's Distributional Interest. The charging-order holder has no voting or management rights.</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required / other]</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Death or incapacity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Voluntary withdrawal or retirement.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Involuntary transfer (divorce, bankruptcy, judgment lien).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appraised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VI.06  Dissociation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dissociation events include withdrawal, expulsion, bankruptcy, death, and incapacity. Dissociation does NOT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2024</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SHIELD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35-8-304(1), MCA</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Company debts solely by reason of their status.</w:t>
      </w:r>
    </w:p>
    <w:p>
      <w:pPr>
        <w:spacing w:after="60" w:before="120" w:line="276" w:lineRule="auto"/>
      </w:pPr>
      <w:r>
        <w:rPr>
          <w:rFonts w:ascii="Times New Roman" w:cs="Times New Roman" w:eastAsia="Times New Roman" w:hAnsi="Times New Roman"/>
          <w:b/>
          <w:bCs/>
          <w:color w:val="000000"/>
          <w:sz w:val="24"/>
          <w:szCs w:val="24"/>
        </w:rPr>
        <w:t xml:space="preserve">VII.02  Formalities Not Required for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35-8-304(2), MCA</w:t>
      </w:r>
      <w:r>
        <w:rPr>
          <w:rFonts w:ascii="Times New Roman" w:cs="Times New Roman" w:eastAsia="Times New Roman" w:hAnsi="Times New Roman"/>
          <w:b w:val="false"/>
          <w:bCs w:val="false"/>
          <w:i w:val="false"/>
          <w:iCs w:val="false"/>
          <w:color w:val="000000"/>
          <w:sz w:val="24"/>
          <w:szCs w:val="24"/>
        </w:rPr>
        <w:t xml:space="preserve">, failure to observe the usual company formalities is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 a ground for imposing personal liability. This is a notable pro-LLC Montana statutory feature.</w:t>
      </w:r>
    </w:p>
    <w:p>
      <w:pPr>
        <w:spacing w:after="60" w:before="120" w:line="276" w:lineRule="auto"/>
      </w:pPr>
      <w:r>
        <w:rPr>
          <w:rFonts w:ascii="Times New Roman" w:cs="Times New Roman" w:eastAsia="Times New Roman" w:hAnsi="Times New Roman"/>
          <w:b/>
          <w:bCs/>
          <w:color w:val="000000"/>
          <w:sz w:val="24"/>
          <w:szCs w:val="24"/>
        </w:rPr>
        <w:t xml:space="preserve">VII.03  Opt-In Personal Liability — Montana Unique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35-8-304(3), MCA</w:t>
      </w:r>
      <w:r>
        <w:rPr>
          <w:rFonts w:ascii="Times New Roman" w:cs="Times New Roman" w:eastAsia="Times New Roman" w:hAnsi="Times New Roman"/>
          <w:b w:val="false"/>
          <w:bCs w:val="false"/>
          <w:i w:val="false"/>
          <w:iCs w:val="false"/>
          <w:color w:val="000000"/>
          <w:sz w:val="24"/>
          <w:szCs w:val="24"/>
        </w:rPr>
        <w:t xml:space="preserve">, all or specified Members may agree to be </w:t>
      </w:r>
      <w:r>
        <w:rPr>
          <w:rFonts w:ascii="Times New Roman" w:cs="Times New Roman" w:eastAsia="Times New Roman" w:hAnsi="Times New Roman"/>
          <w:b/>
          <w:bCs/>
          <w:i w:val="false"/>
          <w:iCs w:val="false"/>
          <w:color w:val="000000"/>
          <w:sz w:val="24"/>
          <w:szCs w:val="24"/>
        </w:rPr>
        <w:t xml:space="preserve">PERSONALLY LIABLE</w:t>
      </w:r>
      <w:r>
        <w:rPr>
          <w:rFonts w:ascii="Times New Roman" w:cs="Times New Roman" w:eastAsia="Times New Roman" w:hAnsi="Times New Roman"/>
          <w:b w:val="false"/>
          <w:bCs w:val="false"/>
          <w:i w:val="false"/>
          <w:iCs w:val="false"/>
          <w:color w:val="000000"/>
          <w:sz w:val="24"/>
          <w:szCs w:val="24"/>
        </w:rPr>
        <w:t xml:space="preserve"> for LLC debts if the Articles so provide AND the affected person consents in writing. This is a unique Montana drafting option. Elected: </w:t>
      </w:r>
      <w:r>
        <w:rPr>
          <w:rFonts w:ascii="Times New Roman" w:cs="Times New Roman" w:eastAsia="Times New Roman" w:hAnsi="Times New Roman"/>
          <w:b/>
          <w:bCs/>
          <w:color w:val="990000"/>
          <w:sz w:val="24"/>
          <w:szCs w:val="24"/>
        </w:rPr>
        <w:t xml:space="preserve">[No (standard) / As specified in Articles per 35-8-304(3)]</w:t>
      </w:r>
    </w:p>
    <w:p>
      <w:pPr>
        <w:spacing w:after="60" w:before="120" w:line="276" w:lineRule="auto"/>
      </w:pPr>
      <w:r>
        <w:rPr>
          <w:rFonts w:ascii="Times New Roman" w:cs="Times New Roman" w:eastAsia="Times New Roman" w:hAnsi="Times New Roman"/>
          <w:b/>
          <w:bCs/>
          <w:color w:val="000000"/>
          <w:sz w:val="24"/>
          <w:szCs w:val="24"/>
        </w:rPr>
        <w:t xml:space="preserve">VII.04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Montana's LLC Act does not impose a mandatory indemnification checklist. Indemnification is handled contractually consistent with 35-8-109(3), ${MCA}.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Exclusions: no indemnification for willful misconduct, fraud, or bad faith.</w:t>
      </w:r>
    </w:p>
    <w:p>
      <w:pPr>
        <w:spacing w:after="60" w:before="120" w:line="276" w:lineRule="auto"/>
      </w:pPr>
      <w:r>
        <w:rPr>
          <w:rFonts w:ascii="Times New Roman" w:cs="Times New Roman" w:eastAsia="Times New Roman" w:hAnsi="Times New Roman"/>
          <w:b/>
          <w:bCs/>
          <w:color w:val="000000"/>
          <w:sz w:val="24"/>
          <w:szCs w:val="24"/>
        </w:rPr>
        <w:t xml:space="preserve">VII.05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officer,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w:t>
      </w:r>
      <w:r>
        <w:rPr>
          <w:rFonts w:ascii="Times New Roman" w:cs="Times New Roman" w:eastAsia="Times New Roman" w:hAnsi="Times New Roman"/>
          <w:b/>
          <w:bCs/>
          <w:i w:val="false"/>
          <w:iCs w:val="false"/>
          <w:color w:val="000000"/>
          <w:sz w:val="24"/>
          <w:szCs w:val="24"/>
        </w:rPr>
        <w:t xml:space="preserve">35-8-901, MCA</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Consent of all Members (or the elected threshold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Expiration of a stated term in the Articles or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 judicial dissolution order under </w:t>
      </w:r>
      <w:r>
        <w:rPr>
          <w:rFonts w:ascii="Times New Roman" w:cs="Times New Roman" w:eastAsia="Times New Roman" w:hAnsi="Times New Roman"/>
          <w:b/>
          <w:bCs/>
          <w:i w:val="false"/>
          <w:iCs w:val="false"/>
          <w:color w:val="000000"/>
          <w:sz w:val="24"/>
          <w:szCs w:val="24"/>
        </w:rPr>
        <w:t xml:space="preserve">35-8-902, MCA</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An event specified in the Articles or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[Unanimous (default) / majority / two-thirds]</w:t>
      </w:r>
    </w:p>
    <w:p>
      <w:pPr>
        <w:spacing w:after="60" w:before="120" w:line="276" w:lineRule="auto"/>
      </w:pPr>
      <w:r>
        <w:rPr>
          <w:rFonts w:ascii="Times New Roman" w:cs="Times New Roman" w:eastAsia="Times New Roman" w:hAnsi="Times New Roman"/>
          <w:b/>
          <w:bCs/>
          <w:color w:val="000000"/>
          <w:sz w:val="24"/>
          <w:szCs w:val="24"/>
        </w:rPr>
        <w:t xml:space="preserve">VIII.02  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35-8-902, MCA</w:t>
      </w:r>
      <w:r>
        <w:rPr>
          <w:rFonts w:ascii="Times New Roman" w:cs="Times New Roman" w:eastAsia="Times New Roman" w:hAnsi="Times New Roman"/>
          <w:b w:val="false"/>
          <w:bCs w:val="false"/>
          <w:i w:val="false"/>
          <w:iCs w:val="false"/>
          <w:color w:val="000000"/>
          <w:sz w:val="24"/>
          <w:szCs w:val="24"/>
        </w:rPr>
        <w:t xml:space="preserve">, a Montana district court may order dissolution if the Company is not operated in conformity with the operating agreement. Per </w:t>
      </w:r>
      <w:r>
        <w:rPr>
          <w:rFonts w:ascii="Times New Roman" w:cs="Times New Roman" w:eastAsia="Times New Roman" w:hAnsi="Times New Roman"/>
          <w:b w:val="false"/>
          <w:bCs w:val="false"/>
          <w:i/>
          <w:iCs/>
          <w:color w:val="000000"/>
          <w:sz w:val="24"/>
          <w:szCs w:val="24"/>
        </w:rPr>
        <w:t xml:space="preserve">Gordon v. Kuzara (Mont. 2012)</w:t>
      </w:r>
      <w:r>
        <w:rPr>
          <w:rFonts w:ascii="Times New Roman" w:cs="Times New Roman" w:eastAsia="Times New Roman" w:hAnsi="Times New Roman"/>
          <w:b w:val="false"/>
          <w:bCs w:val="false"/>
          <w:i w:val="false"/>
          <w:iCs w:val="false"/>
          <w:color w:val="000000"/>
          <w:sz w:val="24"/>
          <w:szCs w:val="24"/>
        </w:rPr>
        <w:t xml:space="preserve">, the Montana Supreme Court addressed judicial dissolution on this basis. Custom dissolution triggers and deadlock provisions reduce risk.</w:t>
      </w:r>
    </w:p>
    <w:p>
      <w:pPr>
        <w:spacing w:after="60" w:before="120" w:line="276" w:lineRule="auto"/>
      </w:pPr>
      <w:r>
        <w:rPr>
          <w:rFonts w:ascii="Times New Roman" w:cs="Times New Roman" w:eastAsia="Times New Roman" w:hAnsi="Times New Roman"/>
          <w:b/>
          <w:bCs/>
          <w:color w:val="000000"/>
          <w:sz w:val="24"/>
          <w:szCs w:val="24"/>
        </w:rPr>
        <w:t xml:space="preserve">VIII.03  Dissociation ≠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Member's dissociation (</w:t>
      </w:r>
      <w:r>
        <w:rPr>
          <w:rFonts w:ascii="Times New Roman" w:cs="Times New Roman" w:eastAsia="Times New Roman" w:hAnsi="Times New Roman"/>
          <w:b/>
          <w:bCs/>
          <w:i w:val="false"/>
          <w:iCs w:val="false"/>
          <w:color w:val="000000"/>
          <w:sz w:val="24"/>
          <w:szCs w:val="24"/>
        </w:rPr>
        <w:t xml:space="preserve">35-8-803, MCA</w:t>
      </w:r>
      <w:r>
        <w:rPr>
          <w:rFonts w:ascii="Times New Roman" w:cs="Times New Roman" w:eastAsia="Times New Roman" w:hAnsi="Times New Roman"/>
          <w:b w:val="false"/>
          <w:bCs w:val="false"/>
          <w:i w:val="false"/>
          <w:iCs w:val="false"/>
          <w:color w:val="000000"/>
          <w:sz w:val="24"/>
          <w:szCs w:val="24"/>
        </w:rPr>
        <w:t xml:space="preserve">) does NOT automatically dissolve the Company (</w:t>
      </w:r>
      <w:r>
        <w:rPr>
          <w:rFonts w:ascii="Times New Roman" w:cs="Times New Roman" w:eastAsia="Times New Roman" w:hAnsi="Times New Roman"/>
          <w:b w:val="false"/>
          <w:bCs w:val="false"/>
          <w:i/>
          <w:iCs/>
          <w:color w:val="000000"/>
          <w:sz w:val="24"/>
          <w:szCs w:val="24"/>
        </w:rPr>
        <w:t xml:space="preserve">Doll v. Little Big Warm Ranch, LLC, Mont. 2024</w:t>
      </w:r>
      <w:r>
        <w:rPr>
          <w:rFonts w:ascii="Times New Roman" w:cs="Times New Roman" w:eastAsia="Times New Roman" w:hAnsi="Times New Roman"/>
          <w:b w:val="false"/>
          <w:bCs w:val="false"/>
          <w:i w:val="false"/>
          <w:iCs w:val="false"/>
          <w:color w:val="000000"/>
          <w:sz w:val="24"/>
          <w:szCs w:val="24"/>
        </w:rPr>
        <w:t xml:space="preserve">). Remaining Members may continue Company operations.</w:t>
      </w:r>
    </w:p>
    <w:p>
      <w:pPr>
        <w:spacing w:after="60" w:before="120" w:line="276" w:lineRule="auto"/>
      </w:pPr>
      <w:r>
        <w:rPr>
          <w:rFonts w:ascii="Times New Roman" w:cs="Times New Roman" w:eastAsia="Times New Roman" w:hAnsi="Times New Roman"/>
          <w:b/>
          <w:bCs/>
          <w:color w:val="000000"/>
          <w:sz w:val="24"/>
          <w:szCs w:val="24"/>
        </w:rPr>
        <w:t xml:space="preserve">VIII.04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w:t>
      </w:r>
      <w:r>
        <w:rPr>
          <w:rFonts w:ascii="Times New Roman" w:cs="Times New Roman" w:eastAsia="Times New Roman" w:hAnsi="Times New Roman"/>
          <w:b/>
          <w:bCs/>
          <w:i w:val="false"/>
          <w:iCs w:val="false"/>
          <w:color w:val="000000"/>
          <w:sz w:val="24"/>
          <w:szCs w:val="24"/>
        </w:rPr>
        <w:t xml:space="preserve">35-8-903, MCA</w:t>
      </w:r>
      <w:r>
        <w:rPr>
          <w:rFonts w:ascii="Times New Roman" w:cs="Times New Roman" w:eastAsia="Times New Roman" w:hAnsi="Times New Roman"/>
          <w:b w:val="false"/>
          <w:bCs w:val="false"/>
          <w:i w:val="false"/>
          <w:iCs w:val="false"/>
          <w:color w:val="000000"/>
          <w:sz w:val="24"/>
          <w:szCs w:val="24"/>
        </w:rPr>
        <w:t xml:space="preserve">): (a) collect and liquidate assets; (b) pay creditors; (c) establish reserves; (d) distribute remaining assets to Members by Ownership Interest percentages. File Articles of Termination with the SOS after winding up is complete.</w:t>
      </w:r>
    </w:p>
    <w:p>
      <w:pPr>
        <w:spacing w:after="60" w:before="120" w:line="276" w:lineRule="auto"/>
      </w:pPr>
      <w:r>
        <w:rPr>
          <w:rFonts w:ascii="Times New Roman" w:cs="Times New Roman" w:eastAsia="Times New Roman" w:hAnsi="Times New Roman"/>
          <w:b/>
          <w:bCs/>
          <w:color w:val="000000"/>
          <w:sz w:val="24"/>
          <w:szCs w:val="24"/>
        </w:rPr>
        <w:t xml:space="preserve">VIII.05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[Mediation / arbitration / buy-sell trigger / Montana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35-8-307(5), MCA</w:t>
      </w:r>
      <w:r>
        <w:rPr>
          <w:rFonts w:ascii="Times New Roman" w:cs="Times New Roman" w:eastAsia="Times New Roman" w:hAnsi="Times New Roman"/>
          <w:b w:val="false"/>
          <w:bCs w:val="false"/>
          <w:i w:val="false"/>
          <w:iCs w:val="false"/>
          <w:color w:val="000000"/>
          <w:sz w:val="24"/>
          <w:szCs w:val="24"/>
        </w:rPr>
        <w:t xml:space="preserve">, amending this Agreement requires </w:t>
      </w:r>
      <w:r>
        <w:rPr>
          <w:rFonts w:ascii="Times New Roman" w:cs="Times New Roman" w:eastAsia="Times New Roman" w:hAnsi="Times New Roman"/>
          <w:b/>
          <w:bCs/>
          <w:i w:val="false"/>
          <w:iCs w:val="false"/>
          <w:color w:val="000000"/>
          <w:sz w:val="24"/>
          <w:szCs w:val="24"/>
        </w:rPr>
        <w:t xml:space="preserve">UNANIMOUS consent</w:t>
      </w:r>
      <w:r>
        <w:rPr>
          <w:rFonts w:ascii="Times New Roman" w:cs="Times New Roman" w:eastAsia="Times New Roman" w:hAnsi="Times New Roman"/>
          <w:b w:val="false"/>
          <w:bCs w:val="false"/>
          <w:i w:val="false"/>
          <w:iCs w:val="false"/>
          <w:color w:val="000000"/>
          <w:sz w:val="24"/>
          <w:szCs w:val="24"/>
        </w:rPr>
        <w:t xml:space="preserve"> by default. In </w:t>
      </w:r>
      <w:r>
        <w:rPr>
          <w:rFonts w:ascii="Times New Roman" w:cs="Times New Roman" w:eastAsia="Times New Roman" w:hAnsi="Times New Roman"/>
          <w:b w:val="false"/>
          <w:bCs w:val="false"/>
          <w:i/>
          <w:iCs/>
          <w:color w:val="000000"/>
          <w:sz w:val="24"/>
          <w:szCs w:val="24"/>
        </w:rPr>
        <w:t xml:space="preserve">Barbier v. Burns (Mont. 2025)</w:t>
      </w:r>
      <w:r>
        <w:rPr>
          <w:rFonts w:ascii="Times New Roman" w:cs="Times New Roman" w:eastAsia="Times New Roman" w:hAnsi="Times New Roman"/>
          <w:b w:val="false"/>
          <w:bCs w:val="false"/>
          <w:i w:val="false"/>
          <w:iCs w:val="false"/>
          <w:color w:val="000000"/>
          <w:sz w:val="24"/>
          <w:szCs w:val="24"/>
        </w:rPr>
        <w:t xml:space="preserve">, the Montana Supreme Court upheld an amendment threshold set by the original OA that allowed amendment without full unanimity. Elected threshold: </w:t>
      </w:r>
      <w:r>
        <w:rPr>
          <w:rFonts w:ascii="Times New Roman" w:cs="Times New Roman" w:eastAsia="Times New Roman" w:hAnsi="Times New Roman"/>
          <w:b/>
          <w:bCs/>
          <w:color w:val="990000"/>
          <w:sz w:val="24"/>
          <w:szCs w:val="24"/>
        </w:rPr>
        <w:t xml:space="preserve">[Unanimous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IX.02  Written Amendment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must be in writing. While Montana generally allows non-written OA terms, written amendments are required for certainty and enforceability of this written Agreement.</w:t>
      </w:r>
    </w:p>
    <w:p>
      <w:pPr>
        <w:spacing w:after="60" w:before="120" w:line="276" w:lineRule="auto"/>
      </w:pPr>
      <w:r>
        <w:rPr>
          <w:rFonts w:ascii="Times New Roman" w:cs="Times New Roman" w:eastAsia="Times New Roman" w:hAnsi="Times New Roman"/>
          <w:b/>
          <w:bCs/>
          <w:color w:val="000000"/>
          <w:sz w:val="24"/>
          <w:szCs w:val="24"/>
        </w:rPr>
        <w:t xml:space="preserve">IX.03  2025 Interpretation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35-8-109(2), MCA</w:t>
      </w:r>
      <w:r>
        <w:rPr>
          <w:rFonts w:ascii="Times New Roman" w:cs="Times New Roman" w:eastAsia="Times New Roman" w:hAnsi="Times New Roman"/>
          <w:b w:val="false"/>
          <w:bCs w:val="false"/>
          <w:i w:val="false"/>
          <w:iCs w:val="false"/>
          <w:color w:val="000000"/>
          <w:sz w:val="24"/>
          <w:szCs w:val="24"/>
        </w:rPr>
        <w:t xml:space="preserve"> (2025 amendment), this Agreement is interpreted according to Montana's general contract-law rules in Title 28, Chapter 3, ${MCA}: plain meaning, course of dealing, and good faith.</w:t>
      </w:r>
    </w:p>
    <w:p>
      <w:pPr>
        <w:spacing w:after="60" w:before="120" w:line="276" w:lineRule="auto"/>
      </w:pPr>
      <w:r>
        <w:rPr>
          <w:rFonts w:ascii="Times New Roman" w:cs="Times New Roman" w:eastAsia="Times New Roman" w:hAnsi="Times New Roman"/>
          <w:b/>
          <w:bCs/>
          <w:color w:val="000000"/>
          <w:sz w:val="24"/>
          <w:szCs w:val="24"/>
        </w:rPr>
        <w:t xml:space="preserve">IX.04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with Company records per </w:t>
      </w:r>
      <w:r>
        <w:rPr>
          <w:rFonts w:ascii="Times New Roman" w:cs="Times New Roman" w:eastAsia="Times New Roman" w:hAnsi="Times New Roman"/>
          <w:b/>
          <w:bCs/>
          <w:i w:val="false"/>
          <w:iCs w:val="false"/>
          <w:color w:val="000000"/>
          <w:sz w:val="24"/>
          <w:szCs w:val="24"/>
        </w:rPr>
        <w:t xml:space="preserve">35-8-405, MCA</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Montana, specifically the Montana Limited Liability Company Act, Title 35, Chapter 8, MCA, and interpreted pursuant to Title 28, Chapter 3, MCA (35-8-109(2), MCA, 2025 amendment).</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mediation, then binding arbitration, before litigation. Venue: </w:t>
      </w:r>
      <w:r>
        <w:rPr>
          <w:rFonts w:ascii="Times New Roman" w:cs="Times New Roman" w:eastAsia="Times New Roman" w:hAnsi="Times New Roman"/>
          <w:b/>
          <w:bCs/>
          <w:color w:val="990000"/>
          <w:sz w:val="24"/>
          <w:szCs w:val="24"/>
        </w:rPr>
        <w:t xml:space="preserve">[Montana district court / specify arbitration body]</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Montana does not require notarization. This Agreement is NOT filed with the SOS. </w:t>
      </w:r>
      <w:r>
        <w:rPr>
          <w:rFonts w:ascii="Times New Roman" w:cs="Times New Roman" w:eastAsia="Times New Roman" w:hAnsi="Times New Roman"/>
          <w:b/>
          <w:bCs/>
          <w:i w:val="false"/>
          <w:iCs w:val="false"/>
          <w:color w:val="000000"/>
          <w:sz w:val="24"/>
          <w:szCs w:val="24"/>
        </w:rPr>
        <w:t xml:space="preserve">All Members should sign</w:t>
      </w:r>
      <w:r>
        <w:rPr>
          <w:rFonts w:ascii="Times New Roman" w:cs="Times New Roman" w:eastAsia="Times New Roman" w:hAnsi="Times New Roman"/>
          <w:b w:val="false"/>
          <w:bCs w:val="false"/>
          <w:i w:val="false"/>
          <w:iCs w:val="false"/>
          <w:color w:val="000000"/>
          <w:sz w:val="24"/>
          <w:szCs w:val="24"/>
        </w:rPr>
        <w:t xml:space="preserve"> for enforceability and banking purposes.</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 except as provided in 35-8-109(3)(g), MCA.</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Operating Agreement. Montana does not require notarization. This Agreement is NOT filed with the Montana Secretary of State, Business Services Division. Annual report: January 1–April 15 ($20 by April 15 / $35 late; </w:t>
      </w:r>
      <w:r>
        <w:rPr>
          <w:rFonts w:ascii="Times New Roman" w:cs="Times New Roman" w:eastAsia="Times New Roman" w:hAnsi="Times New Roman"/>
          <w:b/>
          <w:bCs/>
          <w:i w:val="false"/>
          <w:iCs w:val="false"/>
          <w:color w:val="000000"/>
          <w:sz w:val="24"/>
          <w:szCs w:val="24"/>
        </w:rPr>
        <w:t xml:space="preserve">2026 fee waived by SOS</w:t>
      </w:r>
      <w:r>
        <w:rPr>
          <w:rFonts w:ascii="Times New Roman" w:cs="Times New Roman" w:eastAsia="Times New Roman" w:hAnsi="Times New Roman"/>
          <w:b w:val="false"/>
          <w:bCs w:val="false"/>
          <w:i w:val="false"/>
          <w:iCs w:val="false"/>
          <w:color w:val="000000"/>
          <w:sz w:val="24"/>
          <w:szCs w:val="24"/>
        </w:rPr>
        <w:t xml:space="preserve">).</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Articles of Organization]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Montana</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MT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equal-sharing defaults of </w:t>
      </w:r>
      <w:r>
        <w:rPr>
          <w:rFonts w:ascii="Times New Roman" w:cs="Times New Roman" w:eastAsia="Times New Roman" w:hAnsi="Times New Roman"/>
          <w:b/>
          <w:bCs/>
          <w:i w:val="false"/>
          <w:iCs w:val="false"/>
          <w:color w:val="000000"/>
          <w:sz w:val="24"/>
          <w:szCs w:val="24"/>
        </w:rPr>
        <w:t xml:space="preserve">35-8-503 and 35-8-601(1), MCA</w:t>
      </w:r>
      <w:r>
        <w:rPr>
          <w:rFonts w:ascii="Times New Roman" w:cs="Times New Roman" w:eastAsia="Times New Roman" w:hAnsi="Times New Roman"/>
          <w:b w:val="false"/>
          <w:bCs w:val="false"/>
          <w:i w:val="false"/>
          <w:iCs w:val="false"/>
          <w:color w:val="000000"/>
          <w:sz w:val="24"/>
          <w:szCs w:val="24"/>
        </w:rPr>
        <w:t xml:space="preserve">. A WRITTEN operating agreement is required for this override (</w:t>
      </w:r>
      <w:r>
        <w:rPr>
          <w:rFonts w:ascii="Times New Roman" w:cs="Times New Roman" w:eastAsia="Times New Roman" w:hAnsi="Times New Roman"/>
          <w:b/>
          <w:bCs/>
          <w:i w:val="false"/>
          <w:iCs w:val="false"/>
          <w:color w:val="000000"/>
          <w:sz w:val="24"/>
          <w:szCs w:val="24"/>
        </w:rPr>
        <w:t xml:space="preserve">35-8-109(1), MCA</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Montana limited liability company is provided by Boost Suite for informational and educational purposes only. It does not constitute legal advice and does not create an attorney-client relationship. Boost Suite is not a law firm. This template is based on the Montana Limited Liability Company Act, Title 35, Chapter 8, MCA, including 35-8-109, 35-8-201, 35-8-202, 35-8-304, 35-8-307, 35-8-405, 35-8-503, 35-8-601, 35-8-707, 35-8-803, 35-8-901, 35-8-902, 35-8-903, and 35-7-105, MCA. The 2025 amendments (HB 898 / Chapter 749, Laws of Montana 2025) to 35-8-109 and 35-8-307 MCA are reflected. Laws change; Boost Suite does not guarantee that this template reflects the most current version of Montana law. LLCs with complex structures should have this Agreement reviewed by a licensed Montana attorney.</w:t>
      </w:r>
    </w:p>
    <w:p>
      <w:r>
        <w:br/>
      </w:r>
    </w:p>
    <w:p>
      <w:pPr>
        <w:spacing w:after="80" w:before="0" w:line="276" w:lineRule="auto"/>
      </w:pPr>
      <w:r>
        <w:rPr>
          <w:rFonts w:ascii="Times New Roman" w:cs="Times New Roman" w:eastAsia="Times New Roman" w:hAnsi="Times New Roman"/>
          <w:b/>
          <w:bCs/>
          <w:sz w:val="24"/>
          <w:szCs w:val="24"/>
        </w:rPr>
        <w:t xml:space="preserve">Your Montana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fdbxxikxv4fogn0ukwcfu">
        <w:r>
          <w:rPr>
            <w:rFonts w:ascii="Times New Roman" w:cs="Times New Roman" w:eastAsia="Times New Roman" w:hAnsi="Times New Roman"/>
            <w:color w:val="0000CC"/>
            <w:sz w:val="24"/>
            <w:szCs w:val="24"/>
            <w:u w:val="single"/>
          </w:rPr>
          <w:t xml:space="preserve">https://boostsuite.com/llc-operating-agreement/montana/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qkx6ulinrpoazh6z-ohx">
        <w:r>
          <w:rPr>
            <w:rFonts w:ascii="Times New Roman" w:cs="Times New Roman" w:eastAsia="Times New Roman" w:hAnsi="Times New Roman"/>
            <w:color w:val="0000CC"/>
            <w:sz w:val="24"/>
            <w:szCs w:val="24"/>
            <w:u w:val="single"/>
          </w:rPr>
          <w:t xml:space="preserve">https://boostsuite.com/how-to-start-an-llc/montana/</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dzjaxmqzlkogzi6eymlmv">
        <w:r>
          <w:rPr>
            <w:rFonts w:ascii="Times New Roman" w:cs="Times New Roman" w:eastAsia="Times New Roman" w:hAnsi="Times New Roman"/>
            <w:color w:val="0000CC"/>
            <w:sz w:val="24"/>
            <w:szCs w:val="24"/>
            <w:u w:val="single"/>
          </w:rPr>
          <w:t xml:space="preserve">https://boostsuite.com/how-to-start-an-llc/cost/montana/</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fdbxxikxv4fogn0ukwcfu" Type="http://schemas.openxmlformats.org/officeDocument/2006/relationships/hyperlink" Target="https://boostsuite.com/llc-operating-agreement/montana/" TargetMode="External"/><Relationship Id="rIdhqkx6ulinrpoazh6z-ohx" Type="http://schemas.openxmlformats.org/officeDocument/2006/relationships/hyperlink" Target="https://boostsuite.com/how-to-start-an-llc/montana/" TargetMode="External"/><Relationship Id="rIddzjaxmqzlkogzi6eymlmv" Type="http://schemas.openxmlformats.org/officeDocument/2006/relationships/hyperlink" Target="https://boostsuite.com/how-to-start-an-llc/cost/montana/"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2026-04-21T16:24:03.032Z</dcterms:created>
  <dcterms:modified xsi:type="dcterms:W3CDTF">2026-04-21T16:24:03.033Z</dcterms:modified>
</cp:coreProperties>
</file>

<file path=docProps/custom.xml><?xml version="1.0" encoding="utf-8"?>
<Properties xmlns="http://schemas.openxmlformats.org/officeDocument/2006/custom-properties" xmlns:vt="http://schemas.openxmlformats.org/officeDocument/2006/docPropsVTypes"/>
</file>