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MINNESOTA LIMITED LIABILITY COMPANY</w:t>
      </w:r>
    </w:p>
    <w:p>
      <w:pPr>
        <w:spacing w:after="6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Minnesota Revised Uniform Limited Liability Company Act, Minnesota Statutes Chapter 322C</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Minnesota Revised Uniform Limited Liability Company Act, Minnesota Statutes Chapter 322C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Minnesota Secretary of State. Filing fees: </w:t>
      </w:r>
      <w:r>
        <w:rPr>
          <w:rFonts w:ascii="Times New Roman" w:cs="Times New Roman" w:eastAsia="Times New Roman" w:hAnsi="Times New Roman"/>
          <w:b/>
          <w:bCs/>
          <w:i w:val="false"/>
          <w:iCs w:val="false"/>
          <w:color w:val="000000"/>
          <w:sz w:val="24"/>
          <w:szCs w:val="24"/>
        </w:rPr>
        <w:t xml:space="preserve">$135 by mail or $155 online / in person</w:t>
      </w:r>
      <w:r>
        <w:rPr>
          <w:rFonts w:ascii="Times New Roman" w:cs="Times New Roman" w:eastAsia="Times New Roman" w:hAnsi="Times New Roman"/>
          <w:b w:val="false"/>
          <w:bCs w:val="false"/>
          <w:i w:val="false"/>
          <w:iCs w:val="false"/>
          <w:color w:val="000000"/>
          <w:sz w:val="24"/>
          <w:szCs w:val="24"/>
        </w:rPr>
        <w:t xml:space="preserve">. The Articles are the public formation document. This Operating Agreement is internal and is NOT filed with the Minnesota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Minnesota Articles of Organization do </w:t>
      </w:r>
      <w:r>
        <w:rPr>
          <w:rFonts w:ascii="Times New Roman" w:cs="Times New Roman" w:eastAsia="Times New Roman" w:hAnsi="Times New Roman"/>
          <w:b/>
          <w:bCs/>
          <w:i w:val="false"/>
          <w:iCs w:val="false"/>
          <w:color w:val="000000"/>
          <w:sz w:val="24"/>
          <w:szCs w:val="24"/>
        </w:rPr>
        <w:t xml:space="preserve">NOT list member names</w:t>
      </w:r>
      <w:r>
        <w:rPr>
          <w:rFonts w:ascii="Times New Roman" w:cs="Times New Roman" w:eastAsia="Times New Roman" w:hAnsi="Times New Roman"/>
          <w:b w:val="false"/>
          <w:bCs w:val="false"/>
          <w:i w:val="false"/>
          <w:iCs w:val="false"/>
          <w:color w:val="000000"/>
          <w:sz w:val="24"/>
          <w:szCs w:val="24"/>
        </w:rPr>
        <w:t xml:space="preserve">. This Operating Agreement and Exhibit 1 are the </w:t>
      </w:r>
      <w:r>
        <w:rPr>
          <w:rFonts w:ascii="Times New Roman" w:cs="Times New Roman" w:eastAsia="Times New Roman" w:hAnsi="Times New Roman"/>
          <w:b/>
          <w:bCs/>
          <w:i w:val="false"/>
          <w:iCs w:val="false"/>
          <w:color w:val="000000"/>
          <w:sz w:val="24"/>
          <w:szCs w:val="24"/>
        </w:rPr>
        <w:t xml:space="preserve">primary proof of ownership</w:t>
      </w:r>
      <w:r>
        <w:rPr>
          <w:rFonts w:ascii="Times New Roman" w:cs="Times New Roman" w:eastAsia="Times New Roman" w:hAnsi="Times New Roman"/>
          <w:b w:val="false"/>
          <w:bCs w:val="false"/>
          <w:i w:val="false"/>
          <w:iCs w:val="false"/>
          <w:color w:val="000000"/>
          <w:sz w:val="24"/>
          <w:szCs w:val="24"/>
        </w:rPr>
        <w:t xml:space="preserve">, membership percentages, and governance structure.</w:t>
      </w:r>
    </w:p>
    <w:p>
      <w:pPr>
        <w:spacing w:after="60" w:before="120" w:line="276" w:lineRule="auto"/>
      </w:pPr>
      <w:r>
        <w:rPr>
          <w:rFonts w:ascii="Times New Roman" w:cs="Times New Roman" w:eastAsia="Times New Roman" w:hAnsi="Times New Roman"/>
          <w:b/>
          <w:bCs/>
          <w:color w:val="000000"/>
          <w:sz w:val="24"/>
          <w:szCs w:val="24"/>
        </w:rPr>
        <w:t xml:space="preserve">1.04  Registered Office and Agent for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requires a registered office in the state. Under Minn. Stat. § 322C.0201, subd. 2, a separately designated agent for service of process is listed in the Articles </w:t>
      </w:r>
      <w:r>
        <w:rPr>
          <w:rFonts w:ascii="Times New Roman" w:cs="Times New Roman" w:eastAsia="Times New Roman" w:hAnsi="Times New Roman"/>
          <w:b/>
          <w:bCs/>
          <w:i w:val="false"/>
          <w:iCs w:val="false"/>
          <w:color w:val="000000"/>
          <w:sz w:val="24"/>
          <w:szCs w:val="24"/>
        </w:rPr>
        <w:t xml:space="preserve">only if the LLC has one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MN ZIP]</w:t>
      </w:r>
      <w:r>
        <w:rPr>
          <w:rFonts w:ascii="Times New Roman" w:cs="Times New Roman" w:eastAsia="Times New Roman" w:hAnsi="Times New Roman"/>
          <w:b w:val="false"/>
          <w:bCs w:val="false"/>
          <w:i w:val="false"/>
          <w:iCs w:val="false"/>
          <w:color w:val="000000"/>
          <w:sz w:val="24"/>
          <w:szCs w:val="24"/>
        </w:rPr>
        <w:t xml:space="preserve">. Agent for service of process (if designated):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MN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Oral or Written.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322C.0102, subd. 17</w:t>
      </w:r>
      <w:r>
        <w:rPr>
          <w:rFonts w:ascii="Times New Roman" w:cs="Times New Roman" w:eastAsia="Times New Roman" w:hAnsi="Times New Roman"/>
          <w:b w:val="false"/>
          <w:bCs w:val="false"/>
          <w:i w:val="false"/>
          <w:iCs w:val="false"/>
          <w:color w:val="000000"/>
          <w:sz w:val="24"/>
          <w:szCs w:val="24"/>
        </w:rPr>
        <w:t xml:space="preserve">, a Minnesota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w:t>
      </w:r>
      <w:r>
        <w:rPr>
          <w:rFonts w:ascii="Times New Roman" w:cs="Times New Roman" w:eastAsia="Times New Roman" w:hAnsi="Times New Roman"/>
          <w:b w:val="false"/>
          <w:bCs w:val="false"/>
          <w:i w:val="false"/>
          <w:iCs w:val="false"/>
          <w:color w:val="000000"/>
          <w:sz w:val="24"/>
          <w:szCs w:val="24"/>
        </w:rPr>
        <w:t xml:space="preserve">. The Members have elected to execute this WRITTEN Agreement because oral or implied agreements cannot be proved at a bank, in court, or during investor due diligence. Under </w:t>
      </w:r>
      <w:r>
        <w:rPr>
          <w:rFonts w:ascii="Times New Roman" w:cs="Times New Roman" w:eastAsia="Times New Roman" w:hAnsi="Times New Roman"/>
          <w:b/>
          <w:bCs/>
          <w:i w:val="false"/>
          <w:iCs w:val="false"/>
          <w:color w:val="000000"/>
          <w:sz w:val="24"/>
          <w:szCs w:val="24"/>
        </w:rPr>
        <w:t xml:space="preserve">Minn. Stat. § 322C.0110, subd. 1</w:t>
      </w:r>
      <w:r>
        <w:rPr>
          <w:rFonts w:ascii="Times New Roman" w:cs="Times New Roman" w:eastAsia="Times New Roman" w:hAnsi="Times New Roman"/>
          <w:b w:val="false"/>
          <w:bCs w:val="false"/>
          <w:i w:val="false"/>
          <w:iCs w:val="false"/>
          <w:color w:val="000000"/>
          <w:sz w:val="24"/>
          <w:szCs w:val="24"/>
        </w:rPr>
        <w:t xml:space="preserve">, this Agreement governs: (a) relations among the Members and the Company; (b) rights and duties of any manager or governor; (c) the Company's business activities; and (d) the means for amending this Agreement.</w:t>
      </w:r>
    </w:p>
    <w:p>
      <w:pPr>
        <w:spacing w:after="60" w:before="120" w:line="276" w:lineRule="auto"/>
      </w:pPr>
      <w:r>
        <w:rPr>
          <w:rFonts w:ascii="Times New Roman" w:cs="Times New Roman" w:eastAsia="Times New Roman" w:hAnsi="Times New Roman"/>
          <w:b/>
          <w:bCs/>
          <w:color w:val="000000"/>
          <w:sz w:val="24"/>
          <w:szCs w:val="24"/>
        </w:rPr>
        <w:t xml:space="preserve">1.08  Legacy Law Note.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moved from Chapter 322B to Chapter 322C beginning August 1, 2015. On and after </w:t>
      </w:r>
      <w:r>
        <w:rPr>
          <w:rFonts w:ascii="Times New Roman" w:cs="Times New Roman" w:eastAsia="Times New Roman" w:hAnsi="Times New Roman"/>
          <w:b/>
          <w:bCs/>
          <w:i w:val="false"/>
          <w:iCs w:val="false"/>
          <w:color w:val="000000"/>
          <w:sz w:val="24"/>
          <w:szCs w:val="24"/>
        </w:rPr>
        <w:t xml:space="preserve">January 1, 2018</w:t>
      </w:r>
      <w:r>
        <w:rPr>
          <w:rFonts w:ascii="Times New Roman" w:cs="Times New Roman" w:eastAsia="Times New Roman" w:hAnsi="Times New Roman"/>
          <w:b w:val="false"/>
          <w:bCs w:val="false"/>
          <w:i w:val="false"/>
          <w:iCs w:val="false"/>
          <w:color w:val="000000"/>
          <w:sz w:val="24"/>
          <w:szCs w:val="24"/>
        </w:rPr>
        <w:t xml:space="preserve">, Chapter 322C governs all Minnesota LLCs except as provided in the transition rules of Minn. Stat. § 322C.1204.</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Minnesota Revised Uniform Limited Liability Company Act, Minnesota Statutes Chapter 322C,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Minnesota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transferable under Minn. Stat. § 322C.0502 </w:t>
      </w:r>
      <w:r>
        <w:rPr>
          <w:rFonts w:ascii="Times New Roman" w:cs="Times New Roman" w:eastAsia="Times New Roman" w:hAnsi="Times New Roman"/>
          <w:b/>
          <w:bCs/>
          <w:i w:val="false"/>
          <w:iCs w:val="false"/>
          <w:color w:val="000000"/>
          <w:sz w:val="24"/>
          <w:szCs w:val="24"/>
        </w:rPr>
        <w:t xml:space="preserve">without conferring governance rights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a Member's complete interest, including Transferable Interest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"Governor" means a person serving on the board of governors of a board-managed LLC under § 322C.0407, subd. 4.</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"Ordinary Course" means activities in the usual and regular course of business, as distinguished from acts outside the ordinary course requiring all-member consent.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Under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the default distribution rule allocates distributions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regardless of capital contributions. The Members expressly override this default in Exhibit 1.</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distributions before dissolution are shared </w:t>
      </w:r>
      <w:r>
        <w:rPr>
          <w:rFonts w:ascii="Times New Roman" w:cs="Times New Roman" w:eastAsia="Times New Roman" w:hAnsi="Times New Roman"/>
          <w:b/>
          <w:bCs/>
          <w:i w:val="false"/>
          <w:iCs w:val="false"/>
          <w:color w:val="000000"/>
          <w:sz w:val="24"/>
          <w:szCs w:val="24"/>
        </w:rPr>
        <w:t xml:space="preserve">equally among all members</w:t>
      </w:r>
      <w:r>
        <w:rPr>
          <w:rFonts w:ascii="Times New Roman" w:cs="Times New Roman" w:eastAsia="Times New Roman" w:hAnsi="Times New Roman"/>
          <w:b w:val="false"/>
          <w:bCs w:val="false"/>
          <w:i w:val="false"/>
          <w:iCs w:val="false"/>
          <w:color w:val="000000"/>
          <w:sz w:val="24"/>
          <w:szCs w:val="24"/>
        </w:rPr>
        <w:t xml:space="preserve"> unless the operating agreement provides otherwise. The Members expressly override this default: all distributions shall be allocated in proportion to each Member's Membership Interest percentage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Membership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of members / the Manager / the Board]</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expressly overriding the equal-shares default of Minn. Stat. § 322C.0404.</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Annual Renewal.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Renewal with the Minnesota Secretary of State by </w:t>
      </w:r>
      <w:r>
        <w:rPr>
          <w:rFonts w:ascii="Times New Roman" w:cs="Times New Roman" w:eastAsia="Times New Roman" w:hAnsi="Times New Roman"/>
          <w:b/>
          <w:bCs/>
          <w:i w:val="false"/>
          <w:iCs w:val="false"/>
          <w:color w:val="000000"/>
          <w:sz w:val="24"/>
          <w:szCs w:val="24"/>
        </w:rPr>
        <w:t xml:space="preserve">December 31</w:t>
      </w:r>
      <w:r>
        <w:rPr>
          <w:rFonts w:ascii="Times New Roman" w:cs="Times New Roman" w:eastAsia="Times New Roman" w:hAnsi="Times New Roman"/>
          <w:b w:val="false"/>
          <w:bCs w:val="false"/>
          <w:i w:val="false"/>
          <w:iCs w:val="false"/>
          <w:color w:val="000000"/>
          <w:sz w:val="24"/>
          <w:szCs w:val="24"/>
        </w:rPr>
        <w:t xml:space="preserve"> each calendar year, beginning the year after formation. The Annual Renewal is </w:t>
      </w:r>
      <w:r>
        <w:rPr>
          <w:rFonts w:ascii="Times New Roman" w:cs="Times New Roman" w:eastAsia="Times New Roman" w:hAnsi="Times New Roman"/>
          <w:b/>
          <w:bCs/>
          <w:i w:val="false"/>
          <w:iCs w:val="false"/>
          <w:color w:val="000000"/>
          <w:sz w:val="24"/>
          <w:szCs w:val="24"/>
        </w:rPr>
        <w:t xml:space="preserve">FREE</w:t>
      </w:r>
      <w:r>
        <w:rPr>
          <w:rFonts w:ascii="Times New Roman" w:cs="Times New Roman" w:eastAsia="Times New Roman" w:hAnsi="Times New Roman"/>
          <w:b w:val="false"/>
          <w:bCs w:val="false"/>
          <w:i w:val="false"/>
          <w:iCs w:val="false"/>
          <w:color w:val="000000"/>
          <w:sz w:val="24"/>
          <w:szCs w:val="24"/>
        </w:rPr>
        <w:t xml:space="preserve"> under Minn. Stat. § 322C.0208(b). Failure to renew may result in administrative termination. Reinstatement costs </w:t>
      </w:r>
      <w:r>
        <w:rPr>
          <w:rFonts w:ascii="Times New Roman" w:cs="Times New Roman" w:eastAsia="Times New Roman" w:hAnsi="Times New Roman"/>
          <w:b/>
          <w:bCs/>
          <w:i w:val="false"/>
          <w:iCs w:val="false"/>
          <w:color w:val="000000"/>
          <w:sz w:val="24"/>
          <w:szCs w:val="24"/>
        </w:rPr>
        <w:t xml:space="preserve">$25 by mail or $45 online / in person</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IV.05  Minnesota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follows IRS check-the-box treatment. Single-member LLCs: disregarded entity. Multi-member LLCs: partnership by default. Corporate treatment: Form 8832 (C corp) or Form 2553 (S corp). If taxed as C corp, Minnesota Corporation Franchise Tax may apply. Multi-member LLCs may owe the Minnesota minimum fee (does not apply to single-member LLCs on member's Form M1). Minnesota's </w:t>
      </w:r>
      <w:r>
        <w:rPr>
          <w:rFonts w:ascii="Times New Roman" w:cs="Times New Roman" w:eastAsia="Times New Roman" w:hAnsi="Times New Roman"/>
          <w:b/>
          <w:bCs/>
          <w:i w:val="false"/>
          <w:iCs w:val="false"/>
          <w:color w:val="000000"/>
          <w:sz w:val="24"/>
          <w:szCs w:val="24"/>
        </w:rPr>
        <w:t xml:space="preserve">Pass-Through Entity Tax election applies only to tax years beginning before January 1, 2026</w:t>
      </w:r>
      <w:r>
        <w:rPr>
          <w:rFonts w:ascii="Times New Roman" w:cs="Times New Roman" w:eastAsia="Times New Roman" w:hAnsi="Times New Roman"/>
          <w:b w:val="false"/>
          <w:bCs w:val="false"/>
          <w:i w:val="false"/>
          <w:iCs w:val="false"/>
          <w:color w:val="000000"/>
          <w:sz w:val="24"/>
          <w:szCs w:val="24"/>
        </w:rPr>
        <w:t xml:space="preserve">; extended due date for calendar-year filers: September 15, 2026.</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managed by its Sole Member under Minn. Stat. § 322C.0407, subd. 1 (member-managed by default). The Sole Member has full authority to manage and conduct all activities of the Company.</w:t>
      </w:r>
    </w:p>
    <w:p>
      <w:pPr>
        <w:spacing w:after="60" w:before="120" w:line="276" w:lineRule="auto"/>
      </w:pPr>
      <w:r>
        <w:rPr>
          <w:rFonts w:ascii="Times New Roman" w:cs="Times New Roman" w:eastAsia="Times New Roman" w:hAnsi="Times New Roman"/>
          <w:b/>
          <w:bCs/>
          <w:color w:val="000000"/>
          <w:sz w:val="24"/>
          <w:szCs w:val="24"/>
        </w:rPr>
        <w:t xml:space="preserve">5.02  Single-Member Agreement Recognized.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322C.0102, subd. 17</w:t>
      </w:r>
      <w:r>
        <w:rPr>
          <w:rFonts w:ascii="Times New Roman" w:cs="Times New Roman" w:eastAsia="Times New Roman" w:hAnsi="Times New Roman"/>
          <w:b w:val="false"/>
          <w:bCs w:val="false"/>
          <w:i w:val="false"/>
          <w:iCs w:val="false"/>
          <w:color w:val="000000"/>
          <w:sz w:val="24"/>
          <w:szCs w:val="24"/>
        </w:rPr>
        <w:t xml:space="preserve">, a Minnesota operating agreement includes an agreement of a sole member. This written Agreement is the </w:t>
      </w:r>
      <w:r>
        <w:rPr>
          <w:rFonts w:ascii="Times New Roman" w:cs="Times New Roman" w:eastAsia="Times New Roman" w:hAnsi="Times New Roman"/>
          <w:b/>
          <w:bCs/>
          <w:i w:val="false"/>
          <w:iCs w:val="false"/>
          <w:color w:val="000000"/>
          <w:sz w:val="24"/>
          <w:szCs w:val="24"/>
        </w:rPr>
        <w:t xml:space="preserve">primary proof of ownership</w:t>
      </w:r>
      <w:r>
        <w:rPr>
          <w:rFonts w:ascii="Times New Roman" w:cs="Times New Roman" w:eastAsia="Times New Roman" w:hAnsi="Times New Roman"/>
          <w:b w:val="false"/>
          <w:bCs w:val="false"/>
          <w:i w:val="false"/>
          <w:iCs w:val="false"/>
          <w:color w:val="000000"/>
          <w:sz w:val="24"/>
          <w:szCs w:val="24"/>
        </w:rPr>
        <w:t xml:space="preserve">, management authority, and separateness from the Sole Member's personal affairs.</w:t>
      </w:r>
    </w:p>
    <w:p>
      <w:pPr>
        <w:spacing w:after="60" w:before="120" w:line="276" w:lineRule="auto"/>
      </w:pPr>
      <w:r>
        <w:rPr>
          <w:rFonts w:ascii="Times New Roman" w:cs="Times New Roman" w:eastAsia="Times New Roman" w:hAnsi="Times New Roman"/>
          <w:b/>
          <w:bCs/>
          <w:color w:val="000000"/>
          <w:sz w:val="24"/>
          <w:szCs w:val="24"/>
        </w:rPr>
        <w:t xml:space="preserve">5.03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322C.0409</w:t>
      </w:r>
      <w:r>
        <w:rPr>
          <w:rFonts w:ascii="Times New Roman" w:cs="Times New Roman" w:eastAsia="Times New Roman" w:hAnsi="Times New Roman"/>
          <w:b w:val="false"/>
          <w:bCs w:val="false"/>
          <w:i w:val="false"/>
          <w:iCs w:val="false"/>
          <w:color w:val="000000"/>
          <w:sz w:val="24"/>
          <w:szCs w:val="24"/>
        </w:rPr>
        <w:t xml:space="preserve">, the Sole Member owes duties of loyalty and care and must act consistently with the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which cannot be eliminated.</w:t>
      </w:r>
    </w:p>
    <w:p>
      <w:pPr>
        <w:spacing w:after="60" w:before="120" w:line="276" w:lineRule="auto"/>
      </w:pPr>
      <w:r>
        <w:rPr>
          <w:rFonts w:ascii="Times New Roman" w:cs="Times New Roman" w:eastAsia="Times New Roman" w:hAnsi="Times New Roman"/>
          <w:b/>
          <w:bCs/>
          <w:color w:val="000000"/>
          <w:sz w:val="24"/>
          <w:szCs w:val="24"/>
        </w:rPr>
        <w:t xml:space="preserve">5.04  Transfer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322C.0502</w:t>
      </w:r>
      <w:r>
        <w:rPr>
          <w:rFonts w:ascii="Times New Roman" w:cs="Times New Roman" w:eastAsia="Times New Roman" w:hAnsi="Times New Roman"/>
          <w:b w:val="false"/>
          <w:bCs w:val="false"/>
          <w:i w:val="false"/>
          <w:iCs w:val="false"/>
          <w:color w:val="000000"/>
          <w:sz w:val="24"/>
          <w:szCs w:val="24"/>
        </w:rPr>
        <w:t xml:space="preserve">, transfer of the Sole Member's Transferable Interest does not entitle the transferee to manage the Company or access records unless admitted as a full Member.</w:t>
      </w:r>
    </w:p>
    <w:p>
      <w:pPr>
        <w:spacing w:after="60" w:before="120" w:line="276" w:lineRule="auto"/>
      </w:pPr>
      <w:r>
        <w:rPr>
          <w:rFonts w:ascii="Times New Roman" w:cs="Times New Roman" w:eastAsia="Times New Roman" w:hAnsi="Times New Roman"/>
          <w:b/>
          <w:bCs/>
          <w:color w:val="000000"/>
          <w:sz w:val="24"/>
          <w:szCs w:val="24"/>
        </w:rPr>
        <w:t xml:space="preserve">5.05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322C.0304</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Failure to observe internal management formalities alone is NOT grounds for piercing the liability shield.</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322C.0502</w:t>
      </w:r>
      <w:r>
        <w:rPr>
          <w:rFonts w:ascii="Times New Roman" w:cs="Times New Roman" w:eastAsia="Times New Roman" w:hAnsi="Times New Roman"/>
          <w:b w:val="false"/>
          <w:bCs w:val="false"/>
          <w:i w:val="false"/>
          <w:iCs w:val="false"/>
          <w:color w:val="000000"/>
          <w:sz w:val="24"/>
          <w:szCs w:val="24"/>
        </w:rPr>
        <w:t xml:space="preserve">, transfer of a Transferable Interest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cause dissociation; (b) cause dissolution; or (c) entitle the transferee to participate in management, vote, or access records. The transferee receives only the right to distributions unless admitted as a full Member.</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Transfers that violate a restriction in this Agreement are ineffective against a person with notice. Transfer restrictions: </w:t>
      </w:r>
      <w:r>
        <w:rPr>
          <w:rFonts w:ascii="Times New Roman" w:cs="Times New Roman" w:eastAsia="Times New Roman" w:hAnsi="Times New Roman"/>
          <w:b/>
          <w:bCs/>
          <w:color w:val="990000"/>
          <w:sz w:val="24"/>
          <w:szCs w:val="24"/>
        </w:rPr>
        <w:t xml:space="preserve">[Right of first refusal / consent required / describe]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VI.04  Admission of Transferee.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compliance with the admission procedure in this Agreement, or if silent, upon consent of all existing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Articles of Organization and all amendments; (b) this written Operating Agreement and all amendments; (c) a current member list with addresses; (d) federal, state, and local tax returns for the three most recent fiscal years. Members have statutory information rights that cannot be unreasonably restricted.</w:t>
      </w:r>
    </w:p>
    <w:p>
      <w:pPr>
        <w:spacing w:after="60" w:before="120" w:line="276" w:lineRule="auto"/>
      </w:pPr>
      <w:r>
        <w:rPr>
          <w:rFonts w:ascii="Times New Roman" w:cs="Times New Roman" w:eastAsia="Times New Roman" w:hAnsi="Times New Roman"/>
          <w:b/>
          <w:bCs/>
          <w:color w:val="000000"/>
          <w:sz w:val="24"/>
          <w:szCs w:val="24"/>
        </w:rPr>
        <w:t xml:space="preserve">VII.02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VII.04  Minnesota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follows IRS check-the-box treatment. If taxed as C corp, Minnesota Corporation Franchise Tax may apply. Multi-member LLCs may owe the Minnesota minimum fee (single-member LLCs on member's Form M1 are exempt). Minnesota's </w:t>
      </w:r>
      <w:r>
        <w:rPr>
          <w:rFonts w:ascii="Times New Roman" w:cs="Times New Roman" w:eastAsia="Times New Roman" w:hAnsi="Times New Roman"/>
          <w:b/>
          <w:bCs/>
          <w:i w:val="false"/>
          <w:iCs w:val="false"/>
          <w:color w:val="000000"/>
          <w:sz w:val="24"/>
          <w:szCs w:val="24"/>
        </w:rPr>
        <w:t xml:space="preserve">Pass-Through Entity Tax election applies only to tax years beginning before January 1, 2026</w:t>
      </w:r>
      <w:r>
        <w:rPr>
          <w:rFonts w:ascii="Times New Roman" w:cs="Times New Roman" w:eastAsia="Times New Roman" w:hAnsi="Times New Roman"/>
          <w:b w:val="false"/>
          <w:bCs w:val="false"/>
          <w:i w:val="false"/>
          <w:iCs w:val="false"/>
          <w:color w:val="000000"/>
          <w:sz w:val="24"/>
          <w:szCs w:val="24"/>
        </w:rPr>
        <w:t xml:space="preserve">; extended due date for calendar-year filers: September 15, 2026.</w:t>
      </w:r>
    </w:p>
    <w:p>
      <w:pPr>
        <w:spacing w:after="60" w:before="120" w:line="276" w:lineRule="auto"/>
      </w:pPr>
      <w:r>
        <w:rPr>
          <w:rFonts w:ascii="Times New Roman" w:cs="Times New Roman" w:eastAsia="Times New Roman" w:hAnsi="Times New Roman"/>
          <w:b/>
          <w:bCs/>
          <w:color w:val="000000"/>
          <w:sz w:val="24"/>
          <w:szCs w:val="24"/>
        </w:rPr>
        <w:t xml:space="preserve">VII.05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 Governor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VIII.01  Statutory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322C.0408</w:t>
      </w:r>
      <w:r>
        <w:rPr>
          <w:rFonts w:ascii="Times New Roman" w:cs="Times New Roman" w:eastAsia="Times New Roman" w:hAnsi="Times New Roman"/>
          <w:b w:val="false"/>
          <w:bCs w:val="false"/>
          <w:i w:val="false"/>
          <w:iCs w:val="false"/>
          <w:color w:val="000000"/>
          <w:sz w:val="24"/>
          <w:szCs w:val="24"/>
        </w:rPr>
        <w:t xml:space="preserve">, the LLC shall indemnify covered persons if the statutory criteria are met. The statute also addresses advance payment of expenses. Indemnification treatment: </w:t>
      </w:r>
      <w:r>
        <w:rPr>
          <w:rFonts w:ascii="Times New Roman" w:cs="Times New Roman" w:eastAsia="Times New Roman" w:hAnsi="Times New Roman"/>
          <w:b/>
          <w:bCs/>
          <w:color w:val="990000"/>
          <w:sz w:val="24"/>
          <w:szCs w:val="24"/>
        </w:rPr>
        <w:t xml:space="preserve">[As required by statute / enhanced / limited per § 322C.0408]</w:t>
      </w:r>
    </w:p>
    <w:p>
      <w:pPr>
        <w:spacing w:after="60" w:before="120" w:line="276" w:lineRule="auto"/>
      </w:pPr>
      <w:r>
        <w:rPr>
          <w:rFonts w:ascii="Times New Roman" w:cs="Times New Roman" w:eastAsia="Times New Roman" w:hAnsi="Times New Roman"/>
          <w:b/>
          <w:bCs/>
          <w:color w:val="000000"/>
          <w:sz w:val="24"/>
          <w:szCs w:val="24"/>
        </w:rPr>
        <w:t xml:space="preserve">VIII.02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322C.0304</w:t>
      </w:r>
      <w:r>
        <w:rPr>
          <w:rFonts w:ascii="Times New Roman" w:cs="Times New Roman" w:eastAsia="Times New Roman" w:hAnsi="Times New Roman"/>
          <w:b w:val="false"/>
          <w:bCs w:val="false"/>
          <w:i w:val="false"/>
          <w:iCs w:val="false"/>
          <w:color w:val="000000"/>
          <w:sz w:val="24"/>
          <w:szCs w:val="24"/>
        </w:rPr>
        <w:t xml:space="preserve">, company debts do not become debts of a Member, Manager, or Governor solely by reason of that status. </w:t>
      </w:r>
      <w:r>
        <w:rPr>
          <w:rFonts w:ascii="Times New Roman" w:cs="Times New Roman" w:eastAsia="Times New Roman" w:hAnsi="Times New Roman"/>
          <w:b/>
          <w:bCs/>
          <w:i w:val="false"/>
          <w:iCs w:val="false"/>
          <w:color w:val="000000"/>
          <w:sz w:val="24"/>
          <w:szCs w:val="24"/>
        </w:rPr>
        <w:t xml:space="preserve">Failure to observe internal management formalities alone</w:t>
      </w:r>
      <w:r>
        <w:rPr>
          <w:rFonts w:ascii="Times New Roman" w:cs="Times New Roman" w:eastAsia="Times New Roman" w:hAnsi="Times New Roman"/>
          <w:b w:val="false"/>
          <w:bCs w:val="false"/>
          <w:i w:val="false"/>
          <w:iCs w:val="false"/>
          <w:color w:val="000000"/>
          <w:sz w:val="24"/>
          <w:szCs w:val="24"/>
        </w:rPr>
        <w:t xml:space="preserve"> is NOT grounds for imposing personal liability.</w:t>
      </w:r>
    </w:p>
    <w:p>
      <w:pPr>
        <w:spacing w:after="60" w:before="120" w:line="276" w:lineRule="auto"/>
      </w:pPr>
      <w:r>
        <w:rPr>
          <w:rFonts w:ascii="Times New Roman" w:cs="Times New Roman" w:eastAsia="Times New Roman" w:hAnsi="Times New Roman"/>
          <w:b/>
          <w:bCs/>
          <w:color w:val="000000"/>
          <w:sz w:val="24"/>
          <w:szCs w:val="24"/>
        </w:rPr>
        <w:t xml:space="preserve">VIII.03  Veil-Piercing.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veil-piercing and alter ego case law still applies outside the narrow formalities carveout in § 322C.0304. </w:t>
      </w:r>
      <w:r>
        <w:rPr>
          <w:rFonts w:ascii="Times New Roman" w:cs="Times New Roman" w:eastAsia="Times New Roman" w:hAnsi="Times New Roman"/>
          <w:b w:val="false"/>
          <w:bCs w:val="false"/>
          <w:i/>
          <w:iCs/>
          <w:color w:val="000000"/>
          <w:sz w:val="24"/>
          <w:szCs w:val="24"/>
        </w:rPr>
        <w:t xml:space="preserve">Guava LLC v. Hansmeier</w:t>
      </w:r>
      <w:r>
        <w:rPr>
          <w:rFonts w:ascii="Times New Roman" w:cs="Times New Roman" w:eastAsia="Times New Roman" w:hAnsi="Times New Roman"/>
          <w:b w:val="false"/>
          <w:bCs w:val="false"/>
          <w:i w:val="false"/>
          <w:iCs w:val="false"/>
          <w:color w:val="000000"/>
          <w:sz w:val="24"/>
          <w:szCs w:val="24"/>
        </w:rPr>
        <w:t xml:space="preserve"> illustrates how Minnesota courts can look past the LLC form when the entity lacks genuine separateness. A signed written operating agreement and clean financial records strengthen separateness.</w:t>
      </w:r>
    </w:p>
    <w:p>
      <w:pPr>
        <w:spacing w:after="60" w:before="120" w:line="276" w:lineRule="auto"/>
      </w:pPr>
      <w:r>
        <w:rPr>
          <w:rFonts w:ascii="Times New Roman" w:cs="Times New Roman" w:eastAsia="Times New Roman" w:hAnsi="Times New Roman"/>
          <w:b/>
          <w:bCs/>
          <w:color w:val="000000"/>
          <w:sz w:val="24"/>
          <w:szCs w:val="24"/>
        </w:rPr>
        <w:t xml:space="preserve">VIII.04  Non-Waivable Limits (§ 322C.0110, subd. 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(a) fully eliminate the duty of loyalty or duty of care; (b) eliminate the contractual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(c) unreasonably restrict statutory information rights; or (d) vary the court's power to decree dissolution. Modifications to fiduciary duties are permitted only within the bounds of § 322C.0110, subds. 4-7 and may not be manifestly unreasonable.</w:t>
      </w:r>
    </w:p>
    <w:p>
      <w:pPr>
        <w:spacing w:after="60" w:before="120" w:line="276" w:lineRule="auto"/>
      </w:pPr>
      <w:r>
        <w:rPr>
          <w:rFonts w:ascii="Times New Roman" w:cs="Times New Roman" w:eastAsia="Times New Roman" w:hAnsi="Times New Roman"/>
          <w:b/>
          <w:bCs/>
          <w:color w:val="000000"/>
          <w:sz w:val="24"/>
          <w:szCs w:val="24"/>
        </w:rPr>
        <w:t xml:space="preserve">VIII.05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Governor,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Minn. Stat. § 322C.0701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stated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with no Members after initial admission of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court order where activities are unlawful or it is not reasonably practicable to carry on the Company in conformity with the Articles and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 court order on a Member's application where controllers have acted illegally, fraudulently, or oppressively in a manner directly harmful to the applicant.</w:t>
      </w:r>
    </w:p>
    <w:p>
      <w:pPr>
        <w:spacing w:after="60" w:before="120" w:line="276" w:lineRule="auto"/>
      </w:pPr>
      <w:r>
        <w:rPr>
          <w:rFonts w:ascii="Times New Roman" w:cs="Times New Roman" w:eastAsia="Times New Roman" w:hAnsi="Times New Roman"/>
          <w:b/>
          <w:bCs/>
          <w:color w:val="000000"/>
          <w:sz w:val="24"/>
          <w:szCs w:val="24"/>
        </w:rPr>
        <w:t xml:space="preserve">IX.02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the death, disability, or dissociation of a Member, the remaining Members may elect to continue the Company by unanimous written consent within 90 days.</w:t>
      </w:r>
    </w:p>
    <w:p>
      <w:pPr>
        <w:spacing w:after="60" w:before="120" w:line="276" w:lineRule="auto"/>
      </w:pPr>
      <w:r>
        <w:rPr>
          <w:rFonts w:ascii="Times New Roman" w:cs="Times New Roman" w:eastAsia="Times New Roman" w:hAnsi="Times New Roman"/>
          <w:b/>
          <w:bCs/>
          <w:color w:val="000000"/>
          <w:sz w:val="24"/>
          <w:szCs w:val="24"/>
        </w:rPr>
        <w:t xml:space="preserve">IX.03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newspaper publication requirement for forming an LLC. Publication is not required at any stage of formation or operation under Chapter 322C.</w:t>
      </w:r>
    </w:p>
    <w:p>
      <w:pPr>
        <w:spacing w:after="60" w:before="120" w:line="276" w:lineRule="auto"/>
      </w:pPr>
      <w:r>
        <w:rPr>
          <w:rFonts w:ascii="Times New Roman" w:cs="Times New Roman" w:eastAsia="Times New Roman" w:hAnsi="Times New Roman"/>
          <w:b/>
          <w:bCs/>
          <w:color w:val="000000"/>
          <w:sz w:val="24"/>
          <w:szCs w:val="24"/>
        </w:rPr>
        <w:t xml:space="preserve">IX.04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IX.05  Statement of Termination.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Statement of Termination with the Minnesota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Default Amendment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amending the operating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unless the agreement provides otherwise. The Members may elect a different threshold: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in a signed writing. The Minnesota statute allows oral or implied agreements, but amendments to this written Agreement shall always be in writing.</w:t>
      </w:r>
    </w:p>
    <w:p>
      <w:pPr>
        <w:spacing w:after="60" w:before="120" w:line="276" w:lineRule="auto"/>
      </w:pPr>
      <w:r>
        <w:rPr>
          <w:rFonts w:ascii="Times New Roman" w:cs="Times New Roman" w:eastAsia="Times New Roman" w:hAnsi="Times New Roman"/>
          <w:b/>
          <w:bCs/>
          <w:color w:val="000000"/>
          <w:sz w:val="24"/>
          <w:szCs w:val="24"/>
        </w:rPr>
        <w:t xml:space="preserve">X.03  No State Filing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are NOT filed with the Minnesota Secretary of State. The amended Agreement is maintained at the Company's registered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Minnesota, specifically the Minnesota Revised Uniform Limited Liability Company Act, Minnesota Statutes Chapter 322C.</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Hennepin County, Minnesota]</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Minnesota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CERTIFICATION OF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of the Company, hereby adopts this written Operating Agreement pursuant to Minn. Stat. § 322C.0102, subd. 17 and § 322C.0110. This Agreement is maintained at the Company's registered office and is NOT filed with the Minnesota Secretary of State.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Minnesota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MEMBERSHIP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equal-shares distribution default of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Because Minnesota Articles of Organization do not list members, this Exhibit is the primary proof of the Sole Member's 100% ownership.</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Minnesota limited liability company is provided by Boost Suite for informational and educational purposes only. It does not constitute legal advice and does not create an attorney-client relationship. Boost Suite is not a law firm. This template is based on the Minnesota Revised Uniform Limited Liability Company Act, Minnesota Statutes Chapter 322C, including Minn. Stat. §§ 322C.0102, 322C.0110, 322C.0111, 322C.0201, 322C.0208, 322C.0304, 322C.0404, 322C.0407, 322C.0408, 322C.0409, 322C.0502, 322C.0701, and 322C.1204. Laws change; Boost Suite does not guarantee that this template reflects the most current version of Minnesota law. Multi-member LLCs should have this Agreement reviewed by a licensed Minnesota attorney.</w:t>
      </w:r>
    </w:p>
    <w:p>
      <w:r>
        <w:br/>
      </w:r>
    </w:p>
    <w:p>
      <w:pPr>
        <w:spacing w:after="80" w:before="0" w:line="276" w:lineRule="auto"/>
      </w:pPr>
      <w:r>
        <w:rPr>
          <w:rFonts w:ascii="Times New Roman" w:cs="Times New Roman" w:eastAsia="Times New Roman" w:hAnsi="Times New Roman"/>
          <w:b/>
          <w:bCs/>
          <w:sz w:val="24"/>
          <w:szCs w:val="24"/>
        </w:rPr>
        <w:t xml:space="preserve">Your Minnesota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go8x9ry0ph_cmg6yd6qez">
        <w:r>
          <w:rPr>
            <w:rFonts w:ascii="Times New Roman" w:cs="Times New Roman" w:eastAsia="Times New Roman" w:hAnsi="Times New Roman"/>
            <w:color w:val="0000CC"/>
            <w:sz w:val="24"/>
            <w:szCs w:val="24"/>
            <w:u w:val="single"/>
          </w:rPr>
          <w:t xml:space="preserve">https://boostsuite.com/llc-operating-agreement/minnesota/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sm2dujbheusmkugb5gm-">
        <w:r>
          <w:rPr>
            <w:rFonts w:ascii="Times New Roman" w:cs="Times New Roman" w:eastAsia="Times New Roman" w:hAnsi="Times New Roman"/>
            <w:color w:val="0000CC"/>
            <w:sz w:val="24"/>
            <w:szCs w:val="24"/>
            <w:u w:val="single"/>
          </w:rPr>
          <w:t xml:space="preserve">https://boostsuite.com/how-to-start-an-llc/minnesota/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sgx8onqv8mjwgw_3cqkbi">
        <w:r>
          <w:rPr>
            <w:rFonts w:ascii="Times New Roman" w:cs="Times New Roman" w:eastAsia="Times New Roman" w:hAnsi="Times New Roman"/>
            <w:color w:val="0000CC"/>
            <w:sz w:val="24"/>
            <w:szCs w:val="24"/>
            <w:u w:val="single"/>
          </w:rPr>
          <w:t xml:space="preserve">https://boostsuite.com/how-to-start-an-llc/cost/minnesota/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go8x9ry0ph_cmg6yd6qez" Type="http://schemas.openxmlformats.org/officeDocument/2006/relationships/hyperlink" Target="https://boostsuite.com/llc-operating-agreement/minnesota/" TargetMode="External"/><Relationship Id="rIdcsm2dujbheusmkugb5gm-" Type="http://schemas.openxmlformats.org/officeDocument/2006/relationships/hyperlink" Target="https://boostsuite.com/how-to-start-an-llc/minnesota/" TargetMode="External"/><Relationship Id="rIdsgx8onqv8mjwgw_3cqkbi" Type="http://schemas.openxmlformats.org/officeDocument/2006/relationships/hyperlink" Target="https://boostsuite.com/how-to-start-an-llc/cost/minnesot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2026-04-16T03:08:45.113Z</dcterms:created>
  <dcterms:modified xsi:type="dcterms:W3CDTF">2026-04-16T03:08:45.115Z</dcterms:modified>
</cp:coreProperties>
</file>

<file path=docProps/custom.xml><?xml version="1.0" encoding="utf-8"?>
<Properties xmlns="http://schemas.openxmlformats.org/officeDocument/2006/custom-properties" xmlns:vt="http://schemas.openxmlformats.org/officeDocument/2006/docPropsVTypes"/>
</file>