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MINNESOTA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Minnesota Revised Uniform Limited Liability Company Act, Minnesota Statutes Chapter 322C</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Minnesota Revised Uniform Limited Liability Company Act, Minnesota Statutes Chapter 322C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are subject to the Act except as expressly modified by this Operating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Minnesota Secretary of State. Filing fees: </w:t>
      </w:r>
      <w:r>
        <w:rPr>
          <w:rFonts w:ascii="Times New Roman" w:cs="Times New Roman" w:eastAsia="Times New Roman" w:hAnsi="Times New Roman"/>
          <w:b/>
          <w:bCs/>
          <w:i w:val="false"/>
          <w:iCs w:val="false"/>
          <w:color w:val="000000"/>
          <w:sz w:val="24"/>
          <w:szCs w:val="24"/>
        </w:rPr>
        <w:t xml:space="preserve">$135 by mail or $155 online / in person</w:t>
      </w:r>
      <w:r>
        <w:rPr>
          <w:rFonts w:ascii="Times New Roman" w:cs="Times New Roman" w:eastAsia="Times New Roman" w:hAnsi="Times New Roman"/>
          <w:b w:val="false"/>
          <w:bCs w:val="false"/>
          <w:i w:val="false"/>
          <w:iCs w:val="false"/>
          <w:color w:val="000000"/>
          <w:sz w:val="24"/>
          <w:szCs w:val="24"/>
        </w:rPr>
        <w:t xml:space="preserve">. The Articles are the public formation document. This Operating Agreement is internal and is NOT filed with the Minnesota Secretary of State.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Minnesota Articles of Organization do </w:t>
      </w:r>
      <w:r>
        <w:rPr>
          <w:rFonts w:ascii="Times New Roman" w:cs="Times New Roman" w:eastAsia="Times New Roman" w:hAnsi="Times New Roman"/>
          <w:b/>
          <w:bCs/>
          <w:i w:val="false"/>
          <w:iCs w:val="false"/>
          <w:color w:val="000000"/>
          <w:sz w:val="24"/>
          <w:szCs w:val="24"/>
        </w:rPr>
        <w:t xml:space="preserve">NOT list member names</w:t>
      </w:r>
      <w:r>
        <w:rPr>
          <w:rFonts w:ascii="Times New Roman" w:cs="Times New Roman" w:eastAsia="Times New Roman" w:hAnsi="Times New Roman"/>
          <w:b w:val="false"/>
          <w:bCs w:val="false"/>
          <w:i w:val="false"/>
          <w:iCs w:val="false"/>
          <w:color w:val="000000"/>
          <w:sz w:val="24"/>
          <w:szCs w:val="24"/>
        </w:rPr>
        <w:t xml:space="preserve">. This Operating Agreement and Exhibit 1 are the </w:t>
      </w:r>
      <w:r>
        <w:rPr>
          <w:rFonts w:ascii="Times New Roman" w:cs="Times New Roman" w:eastAsia="Times New Roman" w:hAnsi="Times New Roman"/>
          <w:b/>
          <w:bCs/>
          <w:i w:val="false"/>
          <w:iCs w:val="false"/>
          <w:color w:val="000000"/>
          <w:sz w:val="24"/>
          <w:szCs w:val="24"/>
        </w:rPr>
        <w:t xml:space="preserve">primary proof of ownership</w:t>
      </w:r>
      <w:r>
        <w:rPr>
          <w:rFonts w:ascii="Times New Roman" w:cs="Times New Roman" w:eastAsia="Times New Roman" w:hAnsi="Times New Roman"/>
          <w:b w:val="false"/>
          <w:bCs w:val="false"/>
          <w:i w:val="false"/>
          <w:iCs w:val="false"/>
          <w:color w:val="000000"/>
          <w:sz w:val="24"/>
          <w:szCs w:val="24"/>
        </w:rPr>
        <w:t xml:space="preserve">, membership percentages, and governance structure.</w:t>
      </w:r>
    </w:p>
    <w:p>
      <w:pPr>
        <w:spacing w:after="60" w:before="120" w:line="276" w:lineRule="auto"/>
      </w:pPr>
      <w:r>
        <w:rPr>
          <w:rFonts w:ascii="Times New Roman" w:cs="Times New Roman" w:eastAsia="Times New Roman" w:hAnsi="Times New Roman"/>
          <w:b/>
          <w:bCs/>
          <w:color w:val="000000"/>
          <w:sz w:val="24"/>
          <w:szCs w:val="24"/>
        </w:rPr>
        <w:t xml:space="preserve">1.04  Registered Office and Agent for Service of Process.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requires a registered office in the state. Under Minn. Stat. § 322C.0201, subd. 2, a separately designated agent for service of process is listed in the Articles </w:t>
      </w:r>
      <w:r>
        <w:rPr>
          <w:rFonts w:ascii="Times New Roman" w:cs="Times New Roman" w:eastAsia="Times New Roman" w:hAnsi="Times New Roman"/>
          <w:b/>
          <w:bCs/>
          <w:i w:val="false"/>
          <w:iCs w:val="false"/>
          <w:color w:val="000000"/>
          <w:sz w:val="24"/>
          <w:szCs w:val="24"/>
        </w:rPr>
        <w:t xml:space="preserve">only if the LLC has one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MN ZIP]</w:t>
      </w:r>
      <w:r>
        <w:rPr>
          <w:rFonts w:ascii="Times New Roman" w:cs="Times New Roman" w:eastAsia="Times New Roman" w:hAnsi="Times New Roman"/>
          <w:b w:val="false"/>
          <w:bCs w:val="false"/>
          <w:i w:val="false"/>
          <w:iCs w:val="false"/>
          <w:color w:val="000000"/>
          <w:sz w:val="24"/>
          <w:szCs w:val="24"/>
        </w:rPr>
        <w:t xml:space="preserve">. Agent for service of process (if designated):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1.05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MN ZIP]</w:t>
      </w:r>
    </w:p>
    <w:p>
      <w:pPr>
        <w:spacing w:after="60" w:before="120" w:line="276" w:lineRule="auto"/>
      </w:pPr>
      <w:r>
        <w:rPr>
          <w:rFonts w:ascii="Times New Roman" w:cs="Times New Roman" w:eastAsia="Times New Roman" w:hAnsi="Times New Roman"/>
          <w:b/>
          <w:bCs/>
          <w:color w:val="000000"/>
          <w:sz w:val="24"/>
          <w:szCs w:val="24"/>
        </w:rPr>
        <w:t xml:space="preserve">1.06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1.07  Operating Agreement — Oral or Written.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322C.0102, subd. 17</w:t>
      </w:r>
      <w:r>
        <w:rPr>
          <w:rFonts w:ascii="Times New Roman" w:cs="Times New Roman" w:eastAsia="Times New Roman" w:hAnsi="Times New Roman"/>
          <w:b w:val="false"/>
          <w:bCs w:val="false"/>
          <w:i w:val="false"/>
          <w:iCs w:val="false"/>
          <w:color w:val="000000"/>
          <w:sz w:val="24"/>
          <w:szCs w:val="24"/>
        </w:rPr>
        <w:t xml:space="preserve">, a Minnesota operating agreement may be </w:t>
      </w:r>
      <w:r>
        <w:rPr>
          <w:rFonts w:ascii="Times New Roman" w:cs="Times New Roman" w:eastAsia="Times New Roman" w:hAnsi="Times New Roman"/>
          <w:b/>
          <w:bCs/>
          <w:i w:val="false"/>
          <w:iCs w:val="false"/>
          <w:color w:val="000000"/>
          <w:sz w:val="24"/>
          <w:szCs w:val="24"/>
        </w:rPr>
        <w:t xml:space="preserve">oral, in a record, implied, or any combination</w:t>
      </w:r>
      <w:r>
        <w:rPr>
          <w:rFonts w:ascii="Times New Roman" w:cs="Times New Roman" w:eastAsia="Times New Roman" w:hAnsi="Times New Roman"/>
          <w:b w:val="false"/>
          <w:bCs w:val="false"/>
          <w:i w:val="false"/>
          <w:iCs w:val="false"/>
          <w:color w:val="000000"/>
          <w:sz w:val="24"/>
          <w:szCs w:val="24"/>
        </w:rPr>
        <w:t xml:space="preserve">. The Members have elected to execute this WRITTEN Agreement because oral or implied agreements cannot be proved at a bank, in court, or during investor due diligence. Under </w:t>
      </w:r>
      <w:r>
        <w:rPr>
          <w:rFonts w:ascii="Times New Roman" w:cs="Times New Roman" w:eastAsia="Times New Roman" w:hAnsi="Times New Roman"/>
          <w:b/>
          <w:bCs/>
          <w:i w:val="false"/>
          <w:iCs w:val="false"/>
          <w:color w:val="000000"/>
          <w:sz w:val="24"/>
          <w:szCs w:val="24"/>
        </w:rPr>
        <w:t xml:space="preserve">Minn. Stat. § 322C.0110, subd. 1</w:t>
      </w:r>
      <w:r>
        <w:rPr>
          <w:rFonts w:ascii="Times New Roman" w:cs="Times New Roman" w:eastAsia="Times New Roman" w:hAnsi="Times New Roman"/>
          <w:b w:val="false"/>
          <w:bCs w:val="false"/>
          <w:i w:val="false"/>
          <w:iCs w:val="false"/>
          <w:color w:val="000000"/>
          <w:sz w:val="24"/>
          <w:szCs w:val="24"/>
        </w:rPr>
        <w:t xml:space="preserve">, this Agreement governs: (a) relations among the Members and the Company; (b) rights and duties of any manager or governor; (c) the Company's business activities; and (d) the means for amending this Agreement.</w:t>
      </w:r>
    </w:p>
    <w:p>
      <w:pPr>
        <w:spacing w:after="60" w:before="120" w:line="276" w:lineRule="auto"/>
      </w:pPr>
      <w:r>
        <w:rPr>
          <w:rFonts w:ascii="Times New Roman" w:cs="Times New Roman" w:eastAsia="Times New Roman" w:hAnsi="Times New Roman"/>
          <w:b/>
          <w:bCs/>
          <w:color w:val="000000"/>
          <w:sz w:val="24"/>
          <w:szCs w:val="24"/>
        </w:rPr>
        <w:t xml:space="preserve">1.08  Legacy Law Note.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moved from Chapter 322B to Chapter 322C beginning August 1, 2015. On and after </w:t>
      </w:r>
      <w:r>
        <w:rPr>
          <w:rFonts w:ascii="Times New Roman" w:cs="Times New Roman" w:eastAsia="Times New Roman" w:hAnsi="Times New Roman"/>
          <w:b/>
          <w:bCs/>
          <w:i w:val="false"/>
          <w:iCs w:val="false"/>
          <w:color w:val="000000"/>
          <w:sz w:val="24"/>
          <w:szCs w:val="24"/>
        </w:rPr>
        <w:t xml:space="preserve">January 1, 2018</w:t>
      </w:r>
      <w:r>
        <w:rPr>
          <w:rFonts w:ascii="Times New Roman" w:cs="Times New Roman" w:eastAsia="Times New Roman" w:hAnsi="Times New Roman"/>
          <w:b w:val="false"/>
          <w:bCs w:val="false"/>
          <w:i w:val="false"/>
          <w:iCs w:val="false"/>
          <w:color w:val="000000"/>
          <w:sz w:val="24"/>
          <w:szCs w:val="24"/>
        </w:rPr>
        <w:t xml:space="preserve">, Chapter 322C governs all Minnesota LLCs except as provided in the transition rules of Minn. Stat. § 322C.1204.</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Minnesota Revised Uniform Limited Liability Company Act, Minnesota Statutes Chapter 322C,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Minnesota Secretary of State,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"Transferable Interest" means the right to receive distributions from the Company, transferable under Minn. Stat. § 322C.0502 </w:t>
      </w:r>
      <w:r>
        <w:rPr>
          <w:rFonts w:ascii="Times New Roman" w:cs="Times New Roman" w:eastAsia="Times New Roman" w:hAnsi="Times New Roman"/>
          <w:b/>
          <w:bCs/>
          <w:i w:val="false"/>
          <w:iCs w:val="false"/>
          <w:color w:val="000000"/>
          <w:sz w:val="24"/>
          <w:szCs w:val="24"/>
        </w:rPr>
        <w:t xml:space="preserve">without conferring governance rights</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a Member's complete interest, including Transferable Interest and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"Governor" means a person serving on the board of governors of a board-managed LLC under § 322C.0407, subd. 4.</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"Ordinary Course" means activities in the usual and regular course of business, as distinguished from acts outside the ordinary course requiring all-member consent.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Membership Interest percentage are set forth in Exhibit 1. Under </w:t>
      </w:r>
      <w:r>
        <w:rPr>
          <w:rFonts w:ascii="Times New Roman" w:cs="Times New Roman" w:eastAsia="Times New Roman" w:hAnsi="Times New Roman"/>
          <w:b/>
          <w:bCs/>
          <w:i w:val="false"/>
          <w:iCs w:val="false"/>
          <w:color w:val="000000"/>
          <w:sz w:val="24"/>
          <w:szCs w:val="24"/>
        </w:rPr>
        <w:t xml:space="preserve">Minn. Stat. § 322C.0404</w:t>
      </w:r>
      <w:r>
        <w:rPr>
          <w:rFonts w:ascii="Times New Roman" w:cs="Times New Roman" w:eastAsia="Times New Roman" w:hAnsi="Times New Roman"/>
          <w:b w:val="false"/>
          <w:bCs w:val="false"/>
          <w:i w:val="false"/>
          <w:iCs w:val="false"/>
          <w:color w:val="000000"/>
          <w:sz w:val="24"/>
          <w:szCs w:val="24"/>
        </w:rPr>
        <w:t xml:space="preserve">, the default distribution rule allocates distributions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regardless of capital contributions. The Members expressly override this default in Exhibit 1.</w:t>
      </w:r>
    </w:p>
    <w:p>
      <w:pPr>
        <w:spacing w:after="60" w:before="120" w:line="276" w:lineRule="auto"/>
      </w:pPr>
      <w:r>
        <w:rPr>
          <w:rFonts w:ascii="Times New Roman" w:cs="Times New Roman" w:eastAsia="Times New Roman" w:hAnsi="Times New Roman"/>
          <w:b/>
          <w:bCs/>
          <w:color w:val="000000"/>
          <w:sz w:val="24"/>
          <w:szCs w:val="24"/>
        </w:rPr>
        <w:t xml:space="preserve">III.02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322C.0404</w:t>
      </w:r>
      <w:r>
        <w:rPr>
          <w:rFonts w:ascii="Times New Roman" w:cs="Times New Roman" w:eastAsia="Times New Roman" w:hAnsi="Times New Roman"/>
          <w:b w:val="false"/>
          <w:bCs w:val="false"/>
          <w:i w:val="false"/>
          <w:iCs w:val="false"/>
          <w:color w:val="000000"/>
          <w:sz w:val="24"/>
          <w:szCs w:val="24"/>
        </w:rPr>
        <w:t xml:space="preserve">, distributions before dissolution are shared </w:t>
      </w:r>
      <w:r>
        <w:rPr>
          <w:rFonts w:ascii="Times New Roman" w:cs="Times New Roman" w:eastAsia="Times New Roman" w:hAnsi="Times New Roman"/>
          <w:b/>
          <w:bCs/>
          <w:i w:val="false"/>
          <w:iCs w:val="false"/>
          <w:color w:val="000000"/>
          <w:sz w:val="24"/>
          <w:szCs w:val="24"/>
        </w:rPr>
        <w:t xml:space="preserve">equally among all members</w:t>
      </w:r>
      <w:r>
        <w:rPr>
          <w:rFonts w:ascii="Times New Roman" w:cs="Times New Roman" w:eastAsia="Times New Roman" w:hAnsi="Times New Roman"/>
          <w:b w:val="false"/>
          <w:bCs w:val="false"/>
          <w:i w:val="false"/>
          <w:iCs w:val="false"/>
          <w:color w:val="000000"/>
          <w:sz w:val="24"/>
          <w:szCs w:val="24"/>
        </w:rPr>
        <w:t xml:space="preserve"> unless the operating agreement provides otherwise. The Members expressly override this default: all distributions shall be allocated in proportion to each Member's Membership Interest percentage as set forth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among the Members in proportion to their Membership Interest percentages as set forth in Exhibit 1.</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at such times and amounts as determined by </w:t>
      </w:r>
      <w:r>
        <w:rPr>
          <w:rFonts w:ascii="Times New Roman" w:cs="Times New Roman" w:eastAsia="Times New Roman" w:hAnsi="Times New Roman"/>
          <w:b/>
          <w:bCs/>
          <w:color w:val="990000"/>
          <w:sz w:val="24"/>
          <w:szCs w:val="24"/>
        </w:rPr>
        <w:t xml:space="preserve">[majority of members / the Manager / the Board]</w:t>
      </w:r>
      <w:r>
        <w:rPr>
          <w:rFonts w:ascii="Times New Roman" w:cs="Times New Roman" w:eastAsia="Times New Roman" w:hAnsi="Times New Roman"/>
          <w:b w:val="false"/>
          <w:bCs w:val="false"/>
          <w:i w:val="false"/>
          <w:iCs w:val="false"/>
          <w:color w:val="000000"/>
          <w:sz w:val="24"/>
          <w:szCs w:val="24"/>
        </w:rPr>
        <w:t xml:space="preserve">, in proportion to each Member's Membership Interest in Exhibit 1, expressly overriding the equal-shares default of Minn. Stat. § 322C.0404.</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Annual Renewal.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file an Annual Renewal with the Minnesota Secretary of State by </w:t>
      </w:r>
      <w:r>
        <w:rPr>
          <w:rFonts w:ascii="Times New Roman" w:cs="Times New Roman" w:eastAsia="Times New Roman" w:hAnsi="Times New Roman"/>
          <w:b/>
          <w:bCs/>
          <w:i w:val="false"/>
          <w:iCs w:val="false"/>
          <w:color w:val="000000"/>
          <w:sz w:val="24"/>
          <w:szCs w:val="24"/>
        </w:rPr>
        <w:t xml:space="preserve">December 31</w:t>
      </w:r>
      <w:r>
        <w:rPr>
          <w:rFonts w:ascii="Times New Roman" w:cs="Times New Roman" w:eastAsia="Times New Roman" w:hAnsi="Times New Roman"/>
          <w:b w:val="false"/>
          <w:bCs w:val="false"/>
          <w:i w:val="false"/>
          <w:iCs w:val="false"/>
          <w:color w:val="000000"/>
          <w:sz w:val="24"/>
          <w:szCs w:val="24"/>
        </w:rPr>
        <w:t xml:space="preserve"> each calendar year, beginning the year after formation. The Annual Renewal is </w:t>
      </w:r>
      <w:r>
        <w:rPr>
          <w:rFonts w:ascii="Times New Roman" w:cs="Times New Roman" w:eastAsia="Times New Roman" w:hAnsi="Times New Roman"/>
          <w:b/>
          <w:bCs/>
          <w:i w:val="false"/>
          <w:iCs w:val="false"/>
          <w:color w:val="000000"/>
          <w:sz w:val="24"/>
          <w:szCs w:val="24"/>
        </w:rPr>
        <w:t xml:space="preserve">FREE</w:t>
      </w:r>
      <w:r>
        <w:rPr>
          <w:rFonts w:ascii="Times New Roman" w:cs="Times New Roman" w:eastAsia="Times New Roman" w:hAnsi="Times New Roman"/>
          <w:b w:val="false"/>
          <w:bCs w:val="false"/>
          <w:i w:val="false"/>
          <w:iCs w:val="false"/>
          <w:color w:val="000000"/>
          <w:sz w:val="24"/>
          <w:szCs w:val="24"/>
        </w:rPr>
        <w:t xml:space="preserve"> under Minn. Stat. § 322C.0208(b). Failure to renew may result in administrative termination. Reinstatement costs </w:t>
      </w:r>
      <w:r>
        <w:rPr>
          <w:rFonts w:ascii="Times New Roman" w:cs="Times New Roman" w:eastAsia="Times New Roman" w:hAnsi="Times New Roman"/>
          <w:b/>
          <w:bCs/>
          <w:i w:val="false"/>
          <w:iCs w:val="false"/>
          <w:color w:val="000000"/>
          <w:sz w:val="24"/>
          <w:szCs w:val="24"/>
        </w:rPr>
        <w:t xml:space="preserve">$25 by mail or $45 online / in person</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IV.05  Minnesota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follows IRS check-the-box treatment. Single-member LLCs: disregarded entity. Multi-member LLCs: partnership by default. Corporate treatment: Form 8832 (C corp) or Form 2553 (S corp). If taxed as C corp, Minnesota Corporation Franchise Tax may apply. Multi-member LLCs may owe the Minnesota minimum fee (does not apply to single-member LLCs on member's Form M1). Minnesota's </w:t>
      </w:r>
      <w:r>
        <w:rPr>
          <w:rFonts w:ascii="Times New Roman" w:cs="Times New Roman" w:eastAsia="Times New Roman" w:hAnsi="Times New Roman"/>
          <w:b/>
          <w:bCs/>
          <w:i w:val="false"/>
          <w:iCs w:val="false"/>
          <w:color w:val="000000"/>
          <w:sz w:val="24"/>
          <w:szCs w:val="24"/>
        </w:rPr>
        <w:t xml:space="preserve">Pass-Through Entity Tax election applies only to tax years beginning before January 1, 2026</w:t>
      </w:r>
      <w:r>
        <w:rPr>
          <w:rFonts w:ascii="Times New Roman" w:cs="Times New Roman" w:eastAsia="Times New Roman" w:hAnsi="Times New Roman"/>
          <w:b w:val="false"/>
          <w:bCs w:val="false"/>
          <w:i w:val="false"/>
          <w:iCs w:val="false"/>
          <w:color w:val="000000"/>
          <w:sz w:val="24"/>
          <w:szCs w:val="24"/>
        </w:rPr>
        <w:t xml:space="preserve">; extended due date for calendar-year filers: September 15, 2026.</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Under Minn. Stat. § 322C.0407, subd. 1, a Minnesota LLC is member-managed by default. Management is vested in the Members.</w:t>
      </w:r>
    </w:p>
    <w:p>
      <w:pPr>
        <w:spacing w:after="60" w:before="120" w:line="276" w:lineRule="auto"/>
      </w:pPr>
      <w:r>
        <w:rPr>
          <w:rFonts w:ascii="Times New Roman" w:cs="Times New Roman" w:eastAsia="Times New Roman" w:hAnsi="Times New Roman"/>
          <w:b/>
          <w:bCs/>
          <w:color w:val="000000"/>
          <w:sz w:val="24"/>
          <w:szCs w:val="24"/>
        </w:rPr>
        <w:t xml:space="preserve">V.02  Equal Management Rights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322C.0407, subd. 2</w:t>
      </w:r>
      <w:r>
        <w:rPr>
          <w:rFonts w:ascii="Times New Roman" w:cs="Times New Roman" w:eastAsia="Times New Roman" w:hAnsi="Times New Roman"/>
          <w:b w:val="false"/>
          <w:bCs w:val="false"/>
          <w:i w:val="false"/>
          <w:iCs w:val="false"/>
          <w:color w:val="000000"/>
          <w:sz w:val="24"/>
          <w:szCs w:val="24"/>
        </w:rPr>
        <w:t xml:space="preserve">, each member has </w:t>
      </w:r>
      <w:r>
        <w:rPr>
          <w:rFonts w:ascii="Times New Roman" w:cs="Times New Roman" w:eastAsia="Times New Roman" w:hAnsi="Times New Roman"/>
          <w:b/>
          <w:bCs/>
          <w:i w:val="false"/>
          <w:iCs w:val="false"/>
          <w:color w:val="000000"/>
          <w:sz w:val="24"/>
          <w:szCs w:val="24"/>
        </w:rPr>
        <w:t xml:space="preserve">EQUAL RIGHTS in management</w:t>
      </w:r>
      <w:r>
        <w:rPr>
          <w:rFonts w:ascii="Times New Roman" w:cs="Times New Roman" w:eastAsia="Times New Roman" w:hAnsi="Times New Roman"/>
          <w:b w:val="false"/>
          <w:bCs w:val="false"/>
          <w:i w:val="false"/>
          <w:iCs w:val="false"/>
          <w:color w:val="000000"/>
          <w:sz w:val="24"/>
          <w:szCs w:val="24"/>
        </w:rPr>
        <w:t xml:space="preserve"> regardless of ownership percentage. Voting is </w:t>
      </w:r>
      <w:r>
        <w:rPr>
          <w:rFonts w:ascii="Times New Roman" w:cs="Times New Roman" w:eastAsia="Times New Roman" w:hAnsi="Times New Roman"/>
          <w:b/>
          <w:bCs/>
          <w:i w:val="false"/>
          <w:iCs w:val="false"/>
          <w:color w:val="000000"/>
          <w:sz w:val="24"/>
          <w:szCs w:val="24"/>
        </w:rPr>
        <w:t xml:space="preserve">NOT automatically weighted by capital contributions</w:t>
      </w:r>
      <w:r>
        <w:rPr>
          <w:rFonts w:ascii="Times New Roman" w:cs="Times New Roman" w:eastAsia="Times New Roman" w:hAnsi="Times New Roman"/>
          <w:b w:val="false"/>
          <w:bCs w:val="false"/>
          <w:i w:val="false"/>
          <w:iCs w:val="false"/>
          <w:color w:val="000000"/>
          <w:sz w:val="24"/>
          <w:szCs w:val="24"/>
        </w:rPr>
        <w:t xml:space="preserve">. The Members elect the following voting basis: </w:t>
      </w:r>
      <w:r>
        <w:rPr>
          <w:rFonts w:ascii="Times New Roman" w:cs="Times New Roman" w:eastAsia="Times New Roman" w:hAnsi="Times New Roman"/>
          <w:b/>
          <w:bCs/>
          <w:color w:val="990000"/>
          <w:sz w:val="24"/>
          <w:szCs w:val="24"/>
        </w:rPr>
        <w:t xml:space="preserve">[Per Membership Interest % / Per capita (one member, one vote — default)]</w:t>
      </w:r>
    </w:p>
    <w:p>
      <w:pPr>
        <w:spacing w:after="60" w:before="120" w:line="276" w:lineRule="auto"/>
      </w:pPr>
      <w:r>
        <w:rPr>
          <w:rFonts w:ascii="Times New Roman" w:cs="Times New Roman" w:eastAsia="Times New Roman" w:hAnsi="Times New Roman"/>
          <w:b/>
          <w:bCs/>
          <w:color w:val="000000"/>
          <w:sz w:val="24"/>
          <w:szCs w:val="24"/>
        </w:rPr>
        <w:t xml:space="preserve">V.03  Ordinary-Course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322C.0407, subd. 2</w:t>
      </w:r>
      <w:r>
        <w:rPr>
          <w:rFonts w:ascii="Times New Roman" w:cs="Times New Roman" w:eastAsia="Times New Roman" w:hAnsi="Times New Roman"/>
          <w:b w:val="false"/>
          <w:bCs w:val="false"/>
          <w:i w:val="false"/>
          <w:iCs w:val="false"/>
          <w:color w:val="000000"/>
          <w:sz w:val="24"/>
          <w:szCs w:val="24"/>
        </w:rPr>
        <w:t xml:space="preserve">, ordinary-course matters are decided by a majority of the members (by headcount unless modified above).</w:t>
      </w:r>
    </w:p>
    <w:p>
      <w:pPr>
        <w:spacing w:after="60" w:before="120" w:line="276" w:lineRule="auto"/>
      </w:pPr>
      <w:r>
        <w:rPr>
          <w:rFonts w:ascii="Times New Roman" w:cs="Times New Roman" w:eastAsia="Times New Roman" w:hAnsi="Times New Roman"/>
          <w:b/>
          <w:bCs/>
          <w:color w:val="000000"/>
          <w:sz w:val="24"/>
          <w:szCs w:val="24"/>
        </w:rPr>
        <w:t xml:space="preserve">V.04  Actions Requiring All-Member Consent.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actions require the 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under Minn. Stat. § 322C.0407, subd. 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Acts outside the ordinary course of business.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Sale or transfer of all or substantially all assets outside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Merger, conversion, or domestication.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Admission of a new Member (if operating agreement is silent).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Dissolving the Company.</w:t>
      </w:r>
    </w:p>
    <w:p>
      <w:pPr>
        <w:spacing w:after="60" w:before="120" w:line="276" w:lineRule="auto"/>
      </w:pPr>
      <w:r>
        <w:rPr>
          <w:rFonts w:ascii="Times New Roman" w:cs="Times New Roman" w:eastAsia="Times New Roman" w:hAnsi="Times New Roman"/>
          <w:b/>
          <w:bCs/>
          <w:color w:val="000000"/>
          <w:sz w:val="24"/>
          <w:szCs w:val="24"/>
        </w:rPr>
        <w:t xml:space="preserve">V.05  Fiduciary Duties (Member-Managed).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322C.0409</w:t>
      </w:r>
      <w:r>
        <w:rPr>
          <w:rFonts w:ascii="Times New Roman" w:cs="Times New Roman" w:eastAsia="Times New Roman" w:hAnsi="Times New Roman"/>
          <w:b w:val="false"/>
          <w:bCs w:val="false"/>
          <w:i w:val="false"/>
          <w:iCs w:val="false"/>
          <w:color w:val="000000"/>
          <w:sz w:val="24"/>
          <w:szCs w:val="24"/>
        </w:rPr>
        <w:t xml:space="preserve">, in a member-managed LLC, each Member owes a </w:t>
      </w:r>
      <w:r>
        <w:rPr>
          <w:rFonts w:ascii="Times New Roman" w:cs="Times New Roman" w:eastAsia="Times New Roman" w:hAnsi="Times New Roman"/>
          <w:b/>
          <w:bCs/>
          <w:i w:val="false"/>
          <w:iCs w:val="false"/>
          <w:color w:val="000000"/>
          <w:sz w:val="24"/>
          <w:szCs w:val="24"/>
        </w:rPr>
        <w:t xml:space="preserve">duty of loyalty and duty of care</w:t>
      </w:r>
      <w:r>
        <w:rPr>
          <w:rFonts w:ascii="Times New Roman" w:cs="Times New Roman" w:eastAsia="Times New Roman" w:hAnsi="Times New Roman"/>
          <w:b w:val="false"/>
          <w:bCs w:val="false"/>
          <w:i w:val="false"/>
          <w:iCs w:val="false"/>
          <w:color w:val="000000"/>
          <w:sz w:val="24"/>
          <w:szCs w:val="24"/>
        </w:rPr>
        <w:t xml:space="preserve"> to the Company and other Members. All Members must act consistently with the </w:t>
      </w:r>
      <w:r>
        <w:rPr>
          <w:rFonts w:ascii="Times New Roman" w:cs="Times New Roman" w:eastAsia="Times New Roman" w:hAnsi="Times New Roman"/>
          <w:b/>
          <w:bCs/>
          <w:i w:val="false"/>
          <w:iCs w:val="false"/>
          <w:color w:val="000000"/>
          <w:sz w:val="24"/>
          <w:szCs w:val="24"/>
        </w:rPr>
        <w:t xml:space="preserve">contractual obligation of good faith and fair dealing</w:t>
      </w:r>
      <w:r>
        <w:rPr>
          <w:rFonts w:ascii="Times New Roman" w:cs="Times New Roman" w:eastAsia="Times New Roman" w:hAnsi="Times New Roman"/>
          <w:b w:val="false"/>
          <w:bCs w:val="false"/>
          <w:i w:val="false"/>
          <w:iCs w:val="false"/>
          <w:color w:val="000000"/>
          <w:sz w:val="24"/>
          <w:szCs w:val="24"/>
        </w:rPr>
        <w:t xml:space="preserve">, which under Minn. Stat. § 322C.0110, subd. 3 </w:t>
      </w:r>
      <w:r>
        <w:rPr>
          <w:rFonts w:ascii="Times New Roman" w:cs="Times New Roman" w:eastAsia="Times New Roman" w:hAnsi="Times New Roman"/>
          <w:b/>
          <w:bCs/>
          <w:i w:val="false"/>
          <w:iCs w:val="false"/>
          <w:color w:val="000000"/>
          <w:sz w:val="24"/>
          <w:szCs w:val="24"/>
        </w:rPr>
        <w:t xml:space="preserve">cannot be fully eliminated</w:t>
      </w:r>
      <w:r>
        <w:rPr>
          <w:rFonts w:ascii="Times New Roman" w:cs="Times New Roman" w:eastAsia="Times New Roman" w:hAnsi="Times New Roman"/>
          <w:b w:val="false"/>
          <w:bCs w:val="false"/>
          <w:i w:val="false"/>
          <w:iCs w:val="false"/>
          <w:color w:val="000000"/>
          <w:sz w:val="24"/>
          <w:szCs w:val="24"/>
        </w:rPr>
        <w:t xml:space="preserve">. Modifications to fiduciary duties are permitted under subds. 4-7 but cannot be manifestly unreasonable.</w:t>
      </w:r>
    </w:p>
    <w:p>
      <w:pPr>
        <w:spacing w:after="60" w:before="120" w:line="276" w:lineRule="auto"/>
      </w:pPr>
      <w:r>
        <w:rPr>
          <w:rFonts w:ascii="Times New Roman" w:cs="Times New Roman" w:eastAsia="Times New Roman" w:hAnsi="Times New Roman"/>
          <w:b/>
          <w:bCs/>
          <w:color w:val="000000"/>
          <w:sz w:val="24"/>
          <w:szCs w:val="24"/>
        </w:rPr>
        <w:t xml:space="preserve">V.06  Transfer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322C.0502</w:t>
      </w:r>
      <w:r>
        <w:rPr>
          <w:rFonts w:ascii="Times New Roman" w:cs="Times New Roman" w:eastAsia="Times New Roman" w:hAnsi="Times New Roman"/>
          <w:b w:val="false"/>
          <w:bCs w:val="false"/>
          <w:i w:val="false"/>
          <w:iCs w:val="false"/>
          <w:color w:val="000000"/>
          <w:sz w:val="24"/>
          <w:szCs w:val="24"/>
        </w:rPr>
        <w:t xml:space="preserve">, transfer of a Transferable Interest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 cause dissociation, dissolution, or entitle the transferee to participate in management or access records. The transferee receives only the right to distributions unless admitted as a full Member. Withdrawal notice: </w:t>
      </w:r>
      <w:r>
        <w:rPr>
          <w:rFonts w:ascii="Times New Roman" w:cs="Times New Roman" w:eastAsia="Times New Roman" w:hAnsi="Times New Roman"/>
          <w:b/>
          <w:bCs/>
          <w:color w:val="990000"/>
          <w:sz w:val="24"/>
          <w:szCs w:val="24"/>
        </w:rPr>
        <w:t xml:space="preserve">[90 / 180 days written notice]</w:t>
      </w:r>
      <w:r>
        <w:rPr>
          <w:rFonts w:ascii="Times New Roman" w:cs="Times New Roman" w:eastAsia="Times New Roman" w:hAnsi="Times New Roman"/>
          <w:b w:val="false"/>
          <w:bCs w:val="false"/>
          <w:i w:val="false"/>
          <w:iCs w:val="false"/>
          <w:color w:val="000000"/>
          <w:sz w:val="24"/>
          <w:szCs w:val="24"/>
        </w:rPr>
        <w:t xml:space="preserve">. Buyout method: </w:t>
      </w:r>
      <w:r>
        <w:rPr>
          <w:rFonts w:ascii="Times New Roman" w:cs="Times New Roman" w:eastAsia="Times New Roman" w:hAnsi="Times New Roman"/>
          <w:b/>
          <w:bCs/>
          <w:color w:val="990000"/>
          <w:sz w:val="24"/>
          <w:szCs w:val="24"/>
        </w:rPr>
        <w:t xml:space="preserve">[Fair value / book value / formula]</w:t>
      </w:r>
    </w:p>
    <w:p>
      <w:pPr>
        <w:spacing w:after="60" w:before="120" w:line="276" w:lineRule="auto"/>
      </w:pPr>
      <w:r>
        <w:rPr>
          <w:rFonts w:ascii="Times New Roman" w:cs="Times New Roman" w:eastAsia="Times New Roman" w:hAnsi="Times New Roman"/>
          <w:b/>
          <w:bCs/>
          <w:color w:val="000000"/>
          <w:sz w:val="24"/>
          <w:szCs w:val="24"/>
        </w:rPr>
        <w:t xml:space="preserve">V.07  Statement of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the Company wishes to establish a public record of authority, a Statement of Authority may be filed with the </w:t>
      </w:r>
      <w:r>
        <w:rPr>
          <w:rFonts w:ascii="Times New Roman" w:cs="Times New Roman" w:eastAsia="Times New Roman" w:hAnsi="Times New Roman"/>
          <w:b/>
          <w:bCs/>
          <w:i w:val="false"/>
          <w:iCs w:val="false"/>
          <w:color w:val="000000"/>
          <w:sz w:val="24"/>
          <w:szCs w:val="24"/>
        </w:rPr>
        <w:t xml:space="preserve">Minnesota Secretary of State</w:t>
      </w:r>
      <w:r>
        <w:rPr>
          <w:rFonts w:ascii="Times New Roman" w:cs="Times New Roman" w:eastAsia="Times New Roman" w:hAnsi="Times New Roman"/>
          <w:b w:val="false"/>
          <w:bCs w:val="false"/>
          <w:i w:val="false"/>
          <w:iCs w:val="false"/>
          <w:color w:val="000000"/>
          <w:sz w:val="24"/>
          <w:szCs w:val="24"/>
        </w:rPr>
        <w:t xml:space="preserve">. Management structure is NOT part of the mandatory Articles of Organization contents under Minn. Stat. § 322C.0201, subd. 3.</w:t>
      </w:r>
    </w:p>
    <w:p>
      <w:pPr>
        <w:spacing w:after="60" w:before="120" w:line="276" w:lineRule="auto"/>
      </w:pPr>
      <w:r>
        <w:rPr>
          <w:rFonts w:ascii="Times New Roman" w:cs="Times New Roman" w:eastAsia="Times New Roman" w:hAnsi="Times New Roman"/>
          <w:b/>
          <w:bCs/>
          <w:color w:val="000000"/>
          <w:sz w:val="24"/>
          <w:szCs w:val="24"/>
        </w:rPr>
        <w:t xml:space="preserve">V.08  Meetings.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Meetings may be called by any Member with </w:t>
      </w:r>
      <w:r>
        <w:rPr>
          <w:rFonts w:ascii="Times New Roman" w:cs="Times New Roman" w:eastAsia="Times New Roman" w:hAnsi="Times New Roman"/>
          <w:b/>
          <w:bCs/>
          <w:color w:val="990000"/>
          <w:sz w:val="24"/>
          <w:szCs w:val="24"/>
        </w:rPr>
        <w:t xml:space="preserve">[7 / 10 / 14]</w:t>
      </w:r>
      <w:r>
        <w:rPr>
          <w:rFonts w:ascii="Times New Roman" w:cs="Times New Roman" w:eastAsia="Times New Roman" w:hAnsi="Times New Roman"/>
          <w:b w:val="false"/>
          <w:bCs w:val="false"/>
          <w:i w:val="false"/>
          <w:iCs w:val="false"/>
          <w:color w:val="000000"/>
          <w:sz w:val="24"/>
          <w:szCs w:val="24"/>
        </w:rPr>
        <w:t xml:space="preserve"> days advance notice. Action without a meeting requires consent of all Members entitled to act on the matter.</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322C.0502</w:t>
      </w:r>
      <w:r>
        <w:rPr>
          <w:rFonts w:ascii="Times New Roman" w:cs="Times New Roman" w:eastAsia="Times New Roman" w:hAnsi="Times New Roman"/>
          <w:b w:val="false"/>
          <w:bCs w:val="false"/>
          <w:i w:val="false"/>
          <w:iCs w:val="false"/>
          <w:color w:val="000000"/>
          <w:sz w:val="24"/>
          <w:szCs w:val="24"/>
        </w:rPr>
        <w:t xml:space="preserve">, transfer of a Transferable Interest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 (a) cause dissociation; (b) cause dissolution; or (c) entitle the transferee to participate in management, vote, or access records. The transferee receives only the right to distributions unless admitted as a full Member.</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Transfers that violate a restriction in this Agreement are ineffective against a person with notice. Transfer restrictions: </w:t>
      </w:r>
      <w:r>
        <w:rPr>
          <w:rFonts w:ascii="Times New Roman" w:cs="Times New Roman" w:eastAsia="Times New Roman" w:hAnsi="Times New Roman"/>
          <w:b/>
          <w:bCs/>
          <w:color w:val="990000"/>
          <w:sz w:val="24"/>
          <w:szCs w:val="24"/>
        </w:rPr>
        <w:t xml:space="preserve">[Right of first refusal / consent required / describe]</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Membership Interest to a third party, the transferring Member shall first offer it to remaining Members pro-rata.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 this right of first refusal.</w:t>
      </w:r>
    </w:p>
    <w:p>
      <w:pPr>
        <w:spacing w:after="60" w:before="120" w:line="276" w:lineRule="auto"/>
      </w:pPr>
      <w:r>
        <w:rPr>
          <w:rFonts w:ascii="Times New Roman" w:cs="Times New Roman" w:eastAsia="Times New Roman" w:hAnsi="Times New Roman"/>
          <w:b/>
          <w:bCs/>
          <w:color w:val="000000"/>
          <w:sz w:val="24"/>
          <w:szCs w:val="24"/>
        </w:rPr>
        <w:t xml:space="preserve">VI.04  Admission of Transferee.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transferee may be admitted as a full Member only upon compliance with the admission procedure in this Agreement, or if silent, upon consent of all existing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person may be admitted as a Member upon compliance with the admission procedure in this Agreement, or if silent, upon consent of all existing Members.</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Admission procedure: </w:t>
      </w:r>
      <w:r>
        <w:rPr>
          <w:rFonts w:ascii="Times New Roman" w:cs="Times New Roman" w:eastAsia="Times New Roman" w:hAnsi="Times New Roman"/>
          <w:b/>
          <w:bCs/>
          <w:color w:val="990000"/>
          <w:sz w:val="24"/>
          <w:szCs w:val="24"/>
        </w:rPr>
        <w:t xml:space="preserve">[Unanimous consent / written procedure]</w:t>
      </w:r>
    </w:p>
    <w:p>
      <w:pPr>
        <w:spacing w:after="60" w:before="120" w:line="276" w:lineRule="auto"/>
      </w:pPr>
      <w:r>
        <w:rPr>
          <w:rFonts w:ascii="Times New Roman" w:cs="Times New Roman" w:eastAsia="Times New Roman" w:hAnsi="Times New Roman"/>
          <w:b/>
          <w:bCs/>
          <w:color w:val="000000"/>
          <w:sz w:val="24"/>
          <w:szCs w:val="24"/>
        </w:rPr>
        <w:t xml:space="preserve">7.02  Ownership Proof.</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Because Minnesota Articles of Organization do </w:t>
      </w:r>
      <w:r>
        <w:rPr>
          <w:rFonts w:ascii="Times New Roman" w:cs="Times New Roman" w:eastAsia="Times New Roman" w:hAnsi="Times New Roman"/>
          <w:b/>
          <w:bCs/>
          <w:i w:val="false"/>
          <w:iCs w:val="false"/>
          <w:color w:val="000000"/>
          <w:sz w:val="24"/>
          <w:szCs w:val="24"/>
        </w:rPr>
        <w:t xml:space="preserve">NOT list member names</w:t>
      </w:r>
      <w:r>
        <w:rPr>
          <w:rFonts w:ascii="Times New Roman" w:cs="Times New Roman" w:eastAsia="Times New Roman" w:hAnsi="Times New Roman"/>
          <w:b w:val="false"/>
          <w:bCs w:val="false"/>
          <w:i w:val="false"/>
          <w:iCs w:val="false"/>
          <w:color w:val="000000"/>
          <w:sz w:val="24"/>
          <w:szCs w:val="24"/>
        </w:rPr>
        <w:t xml:space="preserve">, this Agreement and Exhibit 1 are the primary proof of each Member's ownership, capital contribution, and membership status.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VIII.01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Articles of Organization and all amendments; (b) this written Operating Agreement and all amendments; (c) a current member list with addresses; (d) federal, state, and local tax returns for the three most recent fiscal years. Members have statutory information rights that cannot be unreasonably restricted.</w:t>
      </w:r>
    </w:p>
    <w:p>
      <w:pPr>
        <w:spacing w:after="60" w:before="120" w:line="276" w:lineRule="auto"/>
      </w:pPr>
      <w:r>
        <w:rPr>
          <w:rFonts w:ascii="Times New Roman" w:cs="Times New Roman" w:eastAsia="Times New Roman" w:hAnsi="Times New Roman"/>
          <w:b/>
          <w:bCs/>
          <w:color w:val="000000"/>
          <w:sz w:val="24"/>
          <w:szCs w:val="24"/>
        </w:rPr>
        <w:t xml:space="preserve">VIII.02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VIII.03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(Form 2553) / C corp (Form 8832)]</w:t>
      </w:r>
    </w:p>
    <w:p>
      <w:pPr>
        <w:spacing w:after="60" w:before="120" w:line="276" w:lineRule="auto"/>
      </w:pPr>
      <w:r>
        <w:rPr>
          <w:rFonts w:ascii="Times New Roman" w:cs="Times New Roman" w:eastAsia="Times New Roman" w:hAnsi="Times New Roman"/>
          <w:b/>
          <w:bCs/>
          <w:color w:val="000000"/>
          <w:sz w:val="24"/>
          <w:szCs w:val="24"/>
        </w:rPr>
        <w:t xml:space="preserve">VIII.04  Minnesota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follows IRS check-the-box treatment. If taxed as C corp, Minnesota Corporation Franchise Tax may apply. Multi-member LLCs may owe the Minnesota minimum fee (single-member LLCs on member's Form M1 are exempt). Minnesota's </w:t>
      </w:r>
      <w:r>
        <w:rPr>
          <w:rFonts w:ascii="Times New Roman" w:cs="Times New Roman" w:eastAsia="Times New Roman" w:hAnsi="Times New Roman"/>
          <w:b/>
          <w:bCs/>
          <w:i w:val="false"/>
          <w:iCs w:val="false"/>
          <w:color w:val="000000"/>
          <w:sz w:val="24"/>
          <w:szCs w:val="24"/>
        </w:rPr>
        <w:t xml:space="preserve">Pass-Through Entity Tax election applies only to tax years beginning before January 1, 2026</w:t>
      </w:r>
      <w:r>
        <w:rPr>
          <w:rFonts w:ascii="Times New Roman" w:cs="Times New Roman" w:eastAsia="Times New Roman" w:hAnsi="Times New Roman"/>
          <w:b w:val="false"/>
          <w:bCs w:val="false"/>
          <w:i w:val="false"/>
          <w:iCs w:val="false"/>
          <w:color w:val="000000"/>
          <w:sz w:val="24"/>
          <w:szCs w:val="24"/>
        </w:rPr>
        <w:t xml:space="preserve">; extended due date for calendar-year filers: September 15, 2026.</w:t>
      </w:r>
    </w:p>
    <w:p>
      <w:pPr>
        <w:spacing w:after="60" w:before="120" w:line="276" w:lineRule="auto"/>
      </w:pPr>
      <w:r>
        <w:rPr>
          <w:rFonts w:ascii="Times New Roman" w:cs="Times New Roman" w:eastAsia="Times New Roman" w:hAnsi="Times New Roman"/>
          <w:b/>
          <w:bCs/>
          <w:color w:val="000000"/>
          <w:sz w:val="24"/>
          <w:szCs w:val="24"/>
        </w:rPr>
        <w:t xml:space="preserve">VIII.05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 Governor Name]</w:t>
      </w:r>
    </w:p>
    <w:p>
      <w:pPr>
        <w:spacing w:after="100" w:before="200" w:line="276" w:lineRule="auto"/>
        <w:jc w:val="center"/>
      </w:pPr>
      <w:r>
        <w:rPr>
          <w:rFonts w:ascii="Times New Roman" w:cs="Times New Roman" w:eastAsia="Times New Roman" w:hAnsi="Times New Roman"/>
          <w:b/>
          <w:bCs/>
          <w:color w:val="000000"/>
          <w:sz w:val="28"/>
          <w:szCs w:val="28"/>
        </w:rPr>
        <w:t xml:space="preserve">ARTICLE IX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IX.01  Statutory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322C.0408</w:t>
      </w:r>
      <w:r>
        <w:rPr>
          <w:rFonts w:ascii="Times New Roman" w:cs="Times New Roman" w:eastAsia="Times New Roman" w:hAnsi="Times New Roman"/>
          <w:b w:val="false"/>
          <w:bCs w:val="false"/>
          <w:i w:val="false"/>
          <w:iCs w:val="false"/>
          <w:color w:val="000000"/>
          <w:sz w:val="24"/>
          <w:szCs w:val="24"/>
        </w:rPr>
        <w:t xml:space="preserve">, the LLC shall indemnify covered persons if the statutory criteria are met. The statute also addresses advance payment of expenses. Indemnification treatment: </w:t>
      </w:r>
      <w:r>
        <w:rPr>
          <w:rFonts w:ascii="Times New Roman" w:cs="Times New Roman" w:eastAsia="Times New Roman" w:hAnsi="Times New Roman"/>
          <w:b/>
          <w:bCs/>
          <w:color w:val="990000"/>
          <w:sz w:val="24"/>
          <w:szCs w:val="24"/>
        </w:rPr>
        <w:t xml:space="preserve">[As required by statute / enhanced / limited per § 322C.0408]</w:t>
      </w:r>
    </w:p>
    <w:p>
      <w:pPr>
        <w:spacing w:after="60" w:before="120" w:line="276" w:lineRule="auto"/>
      </w:pPr>
      <w:r>
        <w:rPr>
          <w:rFonts w:ascii="Times New Roman" w:cs="Times New Roman" w:eastAsia="Times New Roman" w:hAnsi="Times New Roman"/>
          <w:b/>
          <w:bCs/>
          <w:color w:val="000000"/>
          <w:sz w:val="24"/>
          <w:szCs w:val="24"/>
        </w:rPr>
        <w:t xml:space="preserve">IX.02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322C.0304</w:t>
      </w:r>
      <w:r>
        <w:rPr>
          <w:rFonts w:ascii="Times New Roman" w:cs="Times New Roman" w:eastAsia="Times New Roman" w:hAnsi="Times New Roman"/>
          <w:b w:val="false"/>
          <w:bCs w:val="false"/>
          <w:i w:val="false"/>
          <w:iCs w:val="false"/>
          <w:color w:val="000000"/>
          <w:sz w:val="24"/>
          <w:szCs w:val="24"/>
        </w:rPr>
        <w:t xml:space="preserve">, company debts do not become debts of a Member, Manager, or Governor solely by reason of that status. </w:t>
      </w:r>
      <w:r>
        <w:rPr>
          <w:rFonts w:ascii="Times New Roman" w:cs="Times New Roman" w:eastAsia="Times New Roman" w:hAnsi="Times New Roman"/>
          <w:b/>
          <w:bCs/>
          <w:i w:val="false"/>
          <w:iCs w:val="false"/>
          <w:color w:val="000000"/>
          <w:sz w:val="24"/>
          <w:szCs w:val="24"/>
        </w:rPr>
        <w:t xml:space="preserve">Failure to observe internal management formalities alone</w:t>
      </w:r>
      <w:r>
        <w:rPr>
          <w:rFonts w:ascii="Times New Roman" w:cs="Times New Roman" w:eastAsia="Times New Roman" w:hAnsi="Times New Roman"/>
          <w:b w:val="false"/>
          <w:bCs w:val="false"/>
          <w:i w:val="false"/>
          <w:iCs w:val="false"/>
          <w:color w:val="000000"/>
          <w:sz w:val="24"/>
          <w:szCs w:val="24"/>
        </w:rPr>
        <w:t xml:space="preserve"> is NOT grounds for imposing personal liability.</w:t>
      </w:r>
    </w:p>
    <w:p>
      <w:pPr>
        <w:spacing w:after="60" w:before="120" w:line="276" w:lineRule="auto"/>
      </w:pPr>
      <w:r>
        <w:rPr>
          <w:rFonts w:ascii="Times New Roman" w:cs="Times New Roman" w:eastAsia="Times New Roman" w:hAnsi="Times New Roman"/>
          <w:b/>
          <w:bCs/>
          <w:color w:val="000000"/>
          <w:sz w:val="24"/>
          <w:szCs w:val="24"/>
        </w:rPr>
        <w:t xml:space="preserve">IX.03  Veil-Piercing.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veil-piercing and alter ego case law still applies outside the narrow formalities carveout in § 322C.0304. </w:t>
      </w:r>
      <w:r>
        <w:rPr>
          <w:rFonts w:ascii="Times New Roman" w:cs="Times New Roman" w:eastAsia="Times New Roman" w:hAnsi="Times New Roman"/>
          <w:b w:val="false"/>
          <w:bCs w:val="false"/>
          <w:i/>
          <w:iCs/>
          <w:color w:val="000000"/>
          <w:sz w:val="24"/>
          <w:szCs w:val="24"/>
        </w:rPr>
        <w:t xml:space="preserve">Guava LLC v. Hansmeier</w:t>
      </w:r>
      <w:r>
        <w:rPr>
          <w:rFonts w:ascii="Times New Roman" w:cs="Times New Roman" w:eastAsia="Times New Roman" w:hAnsi="Times New Roman"/>
          <w:b w:val="false"/>
          <w:bCs w:val="false"/>
          <w:i w:val="false"/>
          <w:iCs w:val="false"/>
          <w:color w:val="000000"/>
          <w:sz w:val="24"/>
          <w:szCs w:val="24"/>
        </w:rPr>
        <w:t xml:space="preserve"> illustrates how Minnesota courts can look past the LLC form when the entity lacks genuine separateness. A signed written operating agreement and clean financial records strengthen separateness.</w:t>
      </w:r>
    </w:p>
    <w:p>
      <w:pPr>
        <w:spacing w:after="60" w:before="120" w:line="276" w:lineRule="auto"/>
      </w:pPr>
      <w:r>
        <w:rPr>
          <w:rFonts w:ascii="Times New Roman" w:cs="Times New Roman" w:eastAsia="Times New Roman" w:hAnsi="Times New Roman"/>
          <w:b/>
          <w:bCs/>
          <w:color w:val="000000"/>
          <w:sz w:val="24"/>
          <w:szCs w:val="24"/>
        </w:rPr>
        <w:t xml:space="preserve">IX.04  Non-Waivable Limits (§ 322C.0110, subd. 3).</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(a) fully eliminate the duty of loyalty or duty of care; (b) eliminate the contractual obligation of </w:t>
      </w:r>
      <w:r>
        <w:rPr>
          <w:rFonts w:ascii="Times New Roman" w:cs="Times New Roman" w:eastAsia="Times New Roman" w:hAnsi="Times New Roman"/>
          <w:b/>
          <w:bCs/>
          <w:i w:val="false"/>
          <w:iCs w:val="false"/>
          <w:color w:val="000000"/>
          <w:sz w:val="24"/>
          <w:szCs w:val="24"/>
        </w:rPr>
        <w:t xml:space="preserve">good faith and fair dealing</w:t>
      </w:r>
      <w:r>
        <w:rPr>
          <w:rFonts w:ascii="Times New Roman" w:cs="Times New Roman" w:eastAsia="Times New Roman" w:hAnsi="Times New Roman"/>
          <w:b w:val="false"/>
          <w:bCs w:val="false"/>
          <w:i w:val="false"/>
          <w:iCs w:val="false"/>
          <w:color w:val="000000"/>
          <w:sz w:val="24"/>
          <w:szCs w:val="24"/>
        </w:rPr>
        <w:t xml:space="preserve">; (c) unreasonably restrict statutory information rights; or (d) vary the court's power to decree dissolution. Modifications to fiduciary duties are permitted only within the bounds of § 322C.0110, subds. 4-7 and may not be manifestly unreasonable.</w:t>
      </w:r>
    </w:p>
    <w:p>
      <w:pPr>
        <w:spacing w:after="60" w:before="120" w:line="276" w:lineRule="auto"/>
      </w:pPr>
      <w:r>
        <w:rPr>
          <w:rFonts w:ascii="Times New Roman" w:cs="Times New Roman" w:eastAsia="Times New Roman" w:hAnsi="Times New Roman"/>
          <w:b/>
          <w:bCs/>
          <w:color w:val="000000"/>
          <w:sz w:val="24"/>
          <w:szCs w:val="24"/>
        </w:rPr>
        <w:t xml:space="preserve">IX.05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Governor,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Minn. Stat. § 322C.0701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stated in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
      </w:r>
      <w:r>
        <w:rPr>
          <w:rFonts w:ascii="Times New Roman" w:cs="Times New Roman" w:eastAsia="Times New Roman" w:hAnsi="Times New Roman"/>
          <w:b/>
          <w:bCs/>
          <w:i w:val="false"/>
          <w:iCs w:val="false"/>
          <w:color w:val="000000"/>
          <w:sz w:val="24"/>
          <w:szCs w:val="24"/>
        </w:rPr>
        <w:t xml:space="preserve">90 consecutive days</w:t>
      </w:r>
      <w:r>
        <w:rPr>
          <w:rFonts w:ascii="Times New Roman" w:cs="Times New Roman" w:eastAsia="Times New Roman" w:hAnsi="Times New Roman"/>
          <w:b w:val="false"/>
          <w:bCs w:val="false"/>
          <w:i w:val="false"/>
          <w:iCs w:val="false"/>
          <w:color w:val="000000"/>
          <w:sz w:val="24"/>
          <w:szCs w:val="24"/>
        </w:rPr>
        <w:t xml:space="preserve"> with no Members after initial admission of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 court order where activities are unlawful or it is not reasonably practicable to carry on the Company in conformity with the Articles and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 court order on a Member's application where controllers have acted illegally, fraudulently, or oppressively in a manner directly harmful to the applicant.</w:t>
      </w:r>
    </w:p>
    <w:p>
      <w:pPr>
        <w:spacing w:after="60" w:before="120" w:line="276" w:lineRule="auto"/>
      </w:pPr>
      <w:r>
        <w:rPr>
          <w:rFonts w:ascii="Times New Roman" w:cs="Times New Roman" w:eastAsia="Times New Roman" w:hAnsi="Times New Roman"/>
          <w:b/>
          <w:bCs/>
          <w:color w:val="000000"/>
          <w:sz w:val="24"/>
          <w:szCs w:val="24"/>
        </w:rPr>
        <w:t xml:space="preserve">X.02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the death, disability, or dissociation of a Member, the remaining Members may elect to continue the Company by unanimous written consent within 90 days.</w:t>
      </w:r>
    </w:p>
    <w:p>
      <w:pPr>
        <w:spacing w:after="60" w:before="120" w:line="276" w:lineRule="auto"/>
      </w:pPr>
      <w:r>
        <w:rPr>
          <w:rFonts w:ascii="Times New Roman" w:cs="Times New Roman" w:eastAsia="Times New Roman" w:hAnsi="Times New Roman"/>
          <w:b/>
          <w:bCs/>
          <w:color w:val="000000"/>
          <w:sz w:val="24"/>
          <w:szCs w:val="24"/>
        </w:rPr>
        <w:t xml:space="preserve">X.03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Minnesota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impose a newspaper publication requirement for forming an LLC. Publication is not required at any stage of formation or operation under Chapter 322C.</w:t>
      </w:r>
    </w:p>
    <w:p>
      <w:pPr>
        <w:spacing w:after="60" w:before="120" w:line="276" w:lineRule="auto"/>
      </w:pPr>
      <w:r>
        <w:rPr>
          <w:rFonts w:ascii="Times New Roman" w:cs="Times New Roman" w:eastAsia="Times New Roman" w:hAnsi="Times New Roman"/>
          <w:b/>
          <w:bCs/>
          <w:color w:val="000000"/>
          <w:sz w:val="24"/>
          <w:szCs w:val="24"/>
        </w:rPr>
        <w:t xml:space="preserve">X.04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in proportion to positive Capital Account balances, then by Membership Interest.</w:t>
      </w:r>
    </w:p>
    <w:p>
      <w:pPr>
        <w:spacing w:after="60" w:before="120" w:line="276" w:lineRule="auto"/>
      </w:pPr>
      <w:r>
        <w:rPr>
          <w:rFonts w:ascii="Times New Roman" w:cs="Times New Roman" w:eastAsia="Times New Roman" w:hAnsi="Times New Roman"/>
          <w:b/>
          <w:bCs/>
          <w:color w:val="000000"/>
          <w:sz w:val="24"/>
          <w:szCs w:val="24"/>
        </w:rPr>
        <w:t xml:space="preserve">X.05  Statement of Termination.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of winding up, file a Statement of Termination with the Minnesota Secretary of State.</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Default Amendment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Minn. Stat. § 322C.0407, subd. 2</w:t>
      </w:r>
      <w:r>
        <w:rPr>
          <w:rFonts w:ascii="Times New Roman" w:cs="Times New Roman" w:eastAsia="Times New Roman" w:hAnsi="Times New Roman"/>
          <w:b w:val="false"/>
          <w:bCs w:val="false"/>
          <w:i w:val="false"/>
          <w:iCs w:val="false"/>
          <w:color w:val="000000"/>
          <w:sz w:val="24"/>
          <w:szCs w:val="24"/>
        </w:rPr>
        <w:t xml:space="preserve">, amending the operating agreement requires the 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unless the agreement provides otherwise. The Members may elect a different threshold: </w:t>
      </w:r>
      <w:r>
        <w:rPr>
          <w:rFonts w:ascii="Times New Roman" w:cs="Times New Roman" w:eastAsia="Times New Roman" w:hAnsi="Times New Roman"/>
          <w:b/>
          <w:bCs/>
          <w:color w:val="990000"/>
          <w:sz w:val="24"/>
          <w:szCs w:val="24"/>
        </w:rPr>
        <w:t xml:space="preserve">[All members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XI.02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in a signed writing. The Minnesota statute allows oral or implied agreements, but amendments to this written Agreement shall always be in writing.</w:t>
      </w:r>
    </w:p>
    <w:p>
      <w:pPr>
        <w:spacing w:after="60" w:before="120" w:line="276" w:lineRule="auto"/>
      </w:pPr>
      <w:r>
        <w:rPr>
          <w:rFonts w:ascii="Times New Roman" w:cs="Times New Roman" w:eastAsia="Times New Roman" w:hAnsi="Times New Roman"/>
          <w:b/>
          <w:bCs/>
          <w:color w:val="000000"/>
          <w:sz w:val="24"/>
          <w:szCs w:val="24"/>
        </w:rPr>
        <w:t xml:space="preserve">XI.03  No State Filing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Amendments are NOT filed with the Minnesota Secretary of State. The amended Agreement is maintained at the Company's registered office.</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negotiations, understandings, and agreements.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Minnesota, specifically the Minnesota Revised Uniform Limited Liability Company Act, Minnesota Statutes Chapter 322C.</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negotiation]</w:t>
      </w:r>
      <w:r>
        <w:rPr>
          <w:rFonts w:ascii="Times New Roman" w:cs="Times New Roman" w:eastAsia="Times New Roman" w:hAnsi="Times New Roman"/>
          <w:b w:val="false"/>
          <w:bCs w:val="false"/>
          <w:i w:val="false"/>
          <w:iCs w:val="false"/>
          <w:color w:val="000000"/>
          <w:sz w:val="24"/>
          <w:szCs w:val="24"/>
        </w:rPr>
        <w:t xml:space="preserve"> for </w:t>
      </w:r>
      <w:r>
        <w:rPr>
          <w:rFonts w:ascii="Times New Roman" w:cs="Times New Roman" w:eastAsia="Times New Roman" w:hAnsi="Times New Roman"/>
          <w:b/>
          <w:bCs/>
          <w:color w:val="990000"/>
          <w:sz w:val="24"/>
          <w:szCs w:val="24"/>
        </w:rPr>
        <w:t xml:space="preserve">[30 / 60]</w:t>
      </w:r>
      <w:r>
        <w:rPr>
          <w:rFonts w:ascii="Times New Roman" w:cs="Times New Roman" w:eastAsia="Times New Roman" w:hAnsi="Times New Roman"/>
          <w:b w:val="false"/>
          <w:bCs w:val="false"/>
          <w:i w:val="false"/>
          <w:iCs w:val="false"/>
          <w:color w:val="000000"/>
          <w:sz w:val="24"/>
          <w:szCs w:val="24"/>
        </w:rPr>
        <w:t xml:space="preserve"> days before commencing arbitration or litigation. Venue: </w:t>
      </w:r>
      <w:r>
        <w:rPr>
          <w:rFonts w:ascii="Times New Roman" w:cs="Times New Roman" w:eastAsia="Times New Roman" w:hAnsi="Times New Roman"/>
          <w:b/>
          <w:bCs/>
          <w:color w:val="990000"/>
          <w:sz w:val="24"/>
          <w:szCs w:val="24"/>
        </w:rPr>
        <w:t xml:space="preserve">[e.g., Hennepin County, Minnesota]</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Minnesota does not require notarization; the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Minnesota does not require notarization. This Agreement is NOT filed with the Minnesota Secretary of State. Keep the signed original at the Company's registered office.</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MN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MN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MN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MEMBERSHIP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(1) the equal-shares distribution default of </w:t>
      </w:r>
      <w:r>
        <w:rPr>
          <w:rFonts w:ascii="Times New Roman" w:cs="Times New Roman" w:eastAsia="Times New Roman" w:hAnsi="Times New Roman"/>
          <w:b/>
          <w:bCs/>
          <w:i w:val="false"/>
          <w:iCs w:val="false"/>
          <w:color w:val="000000"/>
          <w:sz w:val="24"/>
          <w:szCs w:val="24"/>
        </w:rPr>
        <w:t xml:space="preserve">Minn. Stat. § 322C.0404</w:t>
      </w:r>
      <w:r>
        <w:rPr>
          <w:rFonts w:ascii="Times New Roman" w:cs="Times New Roman" w:eastAsia="Times New Roman" w:hAnsi="Times New Roman"/>
          <w:b w:val="false"/>
          <w:bCs w:val="false"/>
          <w:i w:val="false"/>
          <w:iCs w:val="false"/>
          <w:color w:val="000000"/>
          <w:sz w:val="24"/>
          <w:szCs w:val="24"/>
        </w:rPr>
        <w:t xml:space="preserve">; and (2) the per-capita equal-management-rights default of </w:t>
      </w:r>
      <w:r>
        <w:rPr>
          <w:rFonts w:ascii="Times New Roman" w:cs="Times New Roman" w:eastAsia="Times New Roman" w:hAnsi="Times New Roman"/>
          <w:b/>
          <w:bCs/>
          <w:i w:val="false"/>
          <w:iCs w:val="false"/>
          <w:color w:val="000000"/>
          <w:sz w:val="24"/>
          <w:szCs w:val="24"/>
        </w:rPr>
        <w:t xml:space="preserve">Minn. Stat. § 322C.0407, subd. 2</w:t>
      </w:r>
      <w:r>
        <w:rPr>
          <w:rFonts w:ascii="Times New Roman" w:cs="Times New Roman" w:eastAsia="Times New Roman" w:hAnsi="Times New Roman"/>
          <w:b w:val="false"/>
          <w:bCs w:val="false"/>
          <w:i w:val="false"/>
          <w:iCs w:val="false"/>
          <w:color w:val="000000"/>
          <w:sz w:val="24"/>
          <w:szCs w:val="24"/>
        </w:rPr>
        <w:t xml:space="preserve"> if ownership-percentage voting was elected above. Minnesota Articles do not identify members — this Exhibit is the primary ownership proof.</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Minnesota limited liability company is provided by Boost Suite for informational and educational purposes only. It does not constitute legal advice and does not create an attorney-client relationship. Boost Suite is not a law firm. This template is based on the Minnesota Revised Uniform Limited Liability Company Act, Minnesota Statutes Chapter 322C, including Minn. Stat. §§ 322C.0102, 322C.0110, 322C.0111, 322C.0201, 322C.0208, 322C.0304, 322C.0404, 322C.0407, 322C.0408, 322C.0409, 322C.0502, 322C.0701, and 322C.1204. Laws change; Boost Suite does not guarantee that this template reflects the most current version of Minnesota law. Multi-member LLCs should have this Agreement reviewed by a licensed Minnesota attorney.</w:t>
      </w:r>
    </w:p>
    <w:p>
      <w:r>
        <w:br/>
      </w:r>
    </w:p>
    <w:p>
      <w:pPr>
        <w:spacing w:after="80" w:before="0" w:line="276" w:lineRule="auto"/>
      </w:pPr>
      <w:r>
        <w:rPr>
          <w:rFonts w:ascii="Times New Roman" w:cs="Times New Roman" w:eastAsia="Times New Roman" w:hAnsi="Times New Roman"/>
          <w:b/>
          <w:bCs/>
          <w:sz w:val="24"/>
          <w:szCs w:val="24"/>
        </w:rPr>
        <w:t xml:space="preserve">Your Minnesota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qezccntcokrdqvj9vq7x-">
        <w:r>
          <w:rPr>
            <w:rFonts w:ascii="Times New Roman" w:cs="Times New Roman" w:eastAsia="Times New Roman" w:hAnsi="Times New Roman"/>
            <w:color w:val="0000CC"/>
            <w:sz w:val="24"/>
            <w:szCs w:val="24"/>
            <w:u w:val="single"/>
          </w:rPr>
          <w:t xml:space="preserve">https://boostsuite.com/llc-operating-agreement/minnesota/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vas5zle0ftzz0xcsr951l">
        <w:r>
          <w:rPr>
            <w:rFonts w:ascii="Times New Roman" w:cs="Times New Roman" w:eastAsia="Times New Roman" w:hAnsi="Times New Roman"/>
            <w:color w:val="0000CC"/>
            <w:sz w:val="24"/>
            <w:szCs w:val="24"/>
            <w:u w:val="single"/>
          </w:rPr>
          <w:t xml:space="preserve">https://boostsuite.com/how-to-start-an-llc/minnesota/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ieocvrns_qpdaqgkzp1o_">
        <w:r>
          <w:rPr>
            <w:rFonts w:ascii="Times New Roman" w:cs="Times New Roman" w:eastAsia="Times New Roman" w:hAnsi="Times New Roman"/>
            <w:color w:val="0000CC"/>
            <w:sz w:val="24"/>
            <w:szCs w:val="24"/>
            <w:u w:val="single"/>
          </w:rPr>
          <w:t xml:space="preserve">https://boostsuite.com/how-to-start-an-llc/cost/minnesota/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qezccntcokrdqvj9vq7x-" Type="http://schemas.openxmlformats.org/officeDocument/2006/relationships/hyperlink" Target="https://boostsuite.com/llc-operating-agreement/minnesota/" TargetMode="External"/><Relationship Id="rIdvas5zle0ftzz0xcsr951l" Type="http://schemas.openxmlformats.org/officeDocument/2006/relationships/hyperlink" Target="https://boostsuite.com/how-to-start-an-llc/minnesota/" TargetMode="External"/><Relationship Id="rIdieocvrns_qpdaqgkzp1o_" Type="http://schemas.openxmlformats.org/officeDocument/2006/relationships/hyperlink" Target="https://boostsuite.com/how-to-start-an-llc/cost/minnesot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2026-04-16T03:08:45.189Z</dcterms:created>
  <dcterms:modified xsi:type="dcterms:W3CDTF">2026-04-16T03:08:45.189Z</dcterms:modified>
</cp:coreProperties>
</file>

<file path=docProps/custom.xml><?xml version="1.0" encoding="utf-8"?>
<Properties xmlns="http://schemas.openxmlformats.org/officeDocument/2006/custom-properties" xmlns:vt="http://schemas.openxmlformats.org/officeDocument/2006/docPropsVTypes"/>
</file>