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LOUISIANA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Articles of Organization and an Initial Report with the Louisiana Secretary of State pursuant to La. R.S. 12:1304, the Louisiana Limited Liability Company Law. This Agreement is a written operating agreement between the Member and the Company within the meaning of La. R.S. 12:1301(A)(16), which expressly requires a written agreement for single-member Louisiana LLCs. This Agreement is not filed with the Louisiana Secretary of State.</w:t>
      </w:r>
    </w:p>
    <w:p>
      <w:pPr>
        <w:spacing w:after="40" w:before="0" w:line="276" w:lineRule="auto"/>
      </w:pPr>
      <w:r>
        <w:rPr>
          <w:rFonts w:ascii="Times New Roman" w:cs="Times New Roman" w:eastAsia="Times New Roman" w:hAnsi="Times New Roman"/>
          <w:sz w:val="24"/>
          <w:szCs w:val="24"/>
        </w:rPr>
        <w:t xml:space="preserve">Articles of Organization 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exactly, including punctuation.</w:t>
      </w:r>
    </w:p>
    <w:p>
      <w:pPr>
        <w:spacing w:after="60" w:before="120" w:line="276" w:lineRule="auto"/>
        <w:jc w:val="both"/>
      </w:pPr>
      <w:r>
        <w:rPr>
          <w:rFonts w:ascii="Times New Roman" w:cs="Times New Roman" w:eastAsia="Times New Roman" w:hAnsi="Times New Roman"/>
          <w:b/>
          <w:bCs/>
          <w:sz w:val="24"/>
          <w:szCs w:val="24"/>
        </w:rPr>
        <w:t xml:space="preserve">1.03 Registered Agent and Registered Office</w:t>
      </w:r>
    </w:p>
    <w:p>
      <w:pPr>
        <w:spacing w:after="60" w:before="0" w:line="276" w:lineRule="auto"/>
        <w:jc w:val="both"/>
      </w:pPr>
      <w:r>
        <w:rPr>
          <w:rFonts w:ascii="Times New Roman" w:cs="Times New Roman" w:eastAsia="Times New Roman" w:hAnsi="Times New Roman"/>
          <w:sz w:val="24"/>
          <w:szCs w:val="24"/>
        </w:rPr>
        <w:t xml:space="preserve">Louisiana requires every LLC to maintain a registered agent with a physical address in the state (La. R.S. 12:1305). The Initial Report includes a notarized affidavit of acknowledgment from each registered agent.</w:t>
      </w:r>
    </w:p>
    <w:p>
      <w:pPr>
        <w:spacing w:after="40" w:before="0" w:line="276" w:lineRule="auto"/>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(physical Louisiana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Principal Office Address</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1.05 Term</w:t>
      </w:r>
    </w:p>
    <w:p>
      <w:pPr>
        <w:spacing w:after="60" w:before="0" w:line="276" w:lineRule="auto"/>
        <w:jc w:val="both"/>
      </w:pPr>
      <w:r>
        <w:rPr>
          <w:rFonts w:ascii="Times New Roman" w:cs="Times New Roman" w:eastAsia="Times New Roman" w:hAnsi="Times New Roman"/>
          <w:sz w:val="24"/>
          <w:szCs w:val="24"/>
        </w:rPr>
        <w:t xml:space="preserve">The Company continues perpetually unless dissolved under this Agreement or pursuant to La. R.S. 12:1335.</w:t>
      </w:r>
    </w:p>
    <w:p>
      <w:pPr>
        <w:spacing w:after="60" w:before="120" w:line="276" w:lineRule="auto"/>
        <w:jc w:val="both"/>
      </w:pPr>
      <w:r>
        <w:rPr>
          <w:rFonts w:ascii="Times New Roman" w:cs="Times New Roman" w:eastAsia="Times New Roman" w:hAnsi="Times New Roman"/>
          <w:b/>
          <w:bCs/>
          <w:sz w:val="24"/>
          <w:szCs w:val="24"/>
        </w:rPr>
        <w:t xml:space="preserve">1.06 Business Purpose</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Louisiana law.</w:t>
      </w:r>
    </w:p>
    <w:p>
      <w:pPr>
        <w:spacing w:after="60" w:before="120" w:line="276" w:lineRule="auto"/>
        <w:jc w:val="both"/>
      </w:pPr>
      <w:r>
        <w:rPr>
          <w:rFonts w:ascii="Times New Roman" w:cs="Times New Roman" w:eastAsia="Times New Roman" w:hAnsi="Times New Roman"/>
          <w:b/>
          <w:bCs/>
          <w:sz w:val="24"/>
          <w:szCs w:val="24"/>
        </w:rPr>
        <w:t xml:space="preserve">1.07 Why This Agreement Must Be Written</w:t>
      </w:r>
    </w:p>
    <w:p>
      <w:pPr>
        <w:spacing w:after="60" w:before="0" w:line="276" w:lineRule="auto"/>
        <w:jc w:val="both"/>
      </w:pPr>
      <w:r>
        <w:rPr>
          <w:rFonts w:ascii="Times New Roman" w:cs="Times New Roman" w:eastAsia="Times New Roman" w:hAnsi="Times New Roman"/>
          <w:sz w:val="24"/>
          <w:szCs w:val="24"/>
        </w:rPr>
        <w:t xml:space="preserve">La. R.S. 12:1301(A)(16) defines the operating agreement for a single-member LLC as a WRITTEN agreement between the member and the company. Several Louisiana default rules — including profit allocation (La. R.S. 12:1323), withdrawal terms (La. R.S. 12:1325), and assignee admission (La. R.S. 12:1332) — only yield to a written operating agreement, not an oral one.</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Succession — Acts 2022, No. 156 (La. R.S. 12:1333.1)</w:t>
      </w:r>
    </w:p>
    <w:p>
      <w:pPr>
        <w:spacing w:after="60" w:before="0" w:line="276" w:lineRule="auto"/>
        <w:jc w:val="both"/>
      </w:pPr>
      <w:r>
        <w:rPr>
          <w:rFonts w:ascii="Times New Roman" w:cs="Times New Roman" w:eastAsia="Times New Roman" w:hAnsi="Times New Roman"/>
          <w:sz w:val="24"/>
          <w:szCs w:val="24"/>
        </w:rPr>
        <w:t xml:space="preserve">Under La. R.S. 12:1333.1 (enacted by Acts 2022, No. 156), the death of the sole member does NOT automatically terminate the membership interest or dissolve the Company. The membership interest is fully heritable. The succession representative may exercise the deceased member's rights during probate. Once a court issues a judgment of possession, the heir or legatee receives full membership rights. This Agreement designates:</w:t>
      </w:r>
    </w:p>
    <w:p>
      <w:pPr>
        <w:spacing w:after="40" w:before="0" w:line="276" w:lineRule="auto"/>
      </w:pPr>
      <w:r>
        <w:rPr>
          <w:rFonts w:ascii="Times New Roman" w:cs="Times New Roman" w:eastAsia="Times New Roman" w:hAnsi="Times New Roman"/>
          <w:sz w:val="24"/>
          <w:szCs w:val="24"/>
        </w:rPr>
        <w:t xml:space="preserve">Designated Successor / Heir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Successor 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2.03 Admission of Additional Members</w:t>
      </w:r>
    </w:p>
    <w:p>
      <w:pPr>
        <w:spacing w:after="60" w:before="0" w:line="276" w:lineRule="auto"/>
        <w:jc w:val="both"/>
      </w:pPr>
      <w:r>
        <w:rPr>
          <w:rFonts w:ascii="Times New Roman" w:cs="Times New Roman" w:eastAsia="Times New Roman" w:hAnsi="Times New Roman"/>
          <w:sz w:val="24"/>
          <w:szCs w:val="24"/>
        </w:rPr>
        <w:t xml:space="preserve">Under La. R.S. 12:1332(A)(1), an assignee does not become a full member unless all other members unanimously consent in writing. New members may be admitted only by written amendment signed by the Member.</w:t>
      </w:r>
    </w:p>
    <w:p>
      <w:pPr>
        <w:spacing w:after="40" w:before="0" w:line="276" w:lineRule="auto"/>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w:t>
      </w:r>
    </w:p>
    <w:p>
      <w:pPr>
        <w:spacing w:after="40" w:before="0" w:line="276" w:lineRule="auto"/>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Capital Account</w:t>
      </w:r>
    </w:p>
    <w:p>
      <w:pPr>
        <w:spacing w:after="60" w:before="0" w:line="276" w:lineRule="auto"/>
        <w:jc w:val="both"/>
      </w:pPr>
      <w:r>
        <w:rPr>
          <w:rFonts w:ascii="Times New Roman" w:cs="Times New Roman" w:eastAsia="Times New Roman" w:hAnsi="Times New Roman"/>
          <w:sz w:val="24"/>
          <w:szCs w:val="24"/>
        </w:rPr>
        <w:t xml:space="preserve">The Member's capital account shall be maintained per Treasury Regulation § 1.704-1(b)(2)(iv).</w:t>
      </w:r>
    </w:p>
    <w:p>
      <w:pPr>
        <w:spacing w:after="60" w:before="120" w:line="276" w:lineRule="auto"/>
        <w:jc w:val="both"/>
      </w:pPr>
      <w:r>
        <w:rPr>
          <w:rFonts w:ascii="Times New Roman" w:cs="Times New Roman" w:eastAsia="Times New Roman" w:hAnsi="Times New Roman"/>
          <w:b/>
          <w:bCs/>
          <w:sz w:val="24"/>
          <w:szCs w:val="24"/>
        </w:rPr>
        <w:t xml:space="preserve">3.04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upon dissolution pursuant to Article X.</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 — La. R.S. 12:1323 Override</w:t>
      </w:r>
    </w:p>
    <w:p>
      <w:pPr>
        <w:spacing w:after="60" w:before="0" w:line="276" w:lineRule="auto"/>
        <w:jc w:val="both"/>
      </w:pPr>
      <w:r>
        <w:rPr>
          <w:rFonts w:ascii="Times New Roman" w:cs="Times New Roman" w:eastAsia="Times New Roman" w:hAnsi="Times New Roman"/>
          <w:sz w:val="24"/>
          <w:szCs w:val="24"/>
        </w:rPr>
        <w:t xml:space="preserve">Under La. R.S. 12:1323, Louisiana's default allocates profits and losses EQUALLY among all members. This written Agreement overrides that default: profits and losses are allocated 100% to the sole Member.</w:t>
      </w:r>
    </w:p>
    <w:p>
      <w:pPr>
        <w:spacing w:after="60" w:before="120" w:line="276" w:lineRule="auto"/>
        <w:jc w:val="both"/>
      </w:pPr>
      <w:r>
        <w:rPr>
          <w:rFonts w:ascii="Times New Roman" w:cs="Times New Roman" w:eastAsia="Times New Roman" w:hAnsi="Times New Roman"/>
          <w:b/>
          <w:bCs/>
          <w:sz w:val="24"/>
          <w:szCs w:val="24"/>
        </w:rPr>
        <w:t xml:space="preserve">4.02 Interim Distributions — La. R.S. 12:1324 Override</w:t>
      </w:r>
    </w:p>
    <w:p>
      <w:pPr>
        <w:spacing w:after="60" w:before="0" w:line="276" w:lineRule="auto"/>
        <w:jc w:val="both"/>
      </w:pPr>
      <w:r>
        <w:rPr>
          <w:rFonts w:ascii="Times New Roman" w:cs="Times New Roman" w:eastAsia="Times New Roman" w:hAnsi="Times New Roman"/>
          <w:sz w:val="24"/>
          <w:szCs w:val="24"/>
        </w:rPr>
        <w:t xml:space="preserve">Under La. R.S. 12:1324, Louisiana's default shares interim distributions EQUALLY. This written Agreement overrides that default: distributions are allocated 100% to the sole Member at such times and amounts as the Member determines.</w:t>
      </w:r>
    </w:p>
    <w:p>
      <w:pPr>
        <w:spacing w:after="40" w:before="0" w:line="276" w:lineRule="auto"/>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Withdrawal Distribution — La. R.S. 12:1325</w:t>
      </w:r>
    </w:p>
    <w:p>
      <w:pPr>
        <w:spacing w:after="60" w:before="0" w:line="276" w:lineRule="auto"/>
        <w:jc w:val="both"/>
      </w:pPr>
      <w:r>
        <w:rPr>
          <w:rFonts w:ascii="Times New Roman" w:cs="Times New Roman" w:eastAsia="Times New Roman" w:hAnsi="Times New Roman"/>
          <w:sz w:val="24"/>
          <w:szCs w:val="24"/>
        </w:rPr>
        <w:t xml:space="preserve">La. R.S. 12:1325 provides that a member in a no-term LLC may withdraw on 30 days' written notice and demand fair market value unless the written OA says otherwise. As a single-member LLC, voluntary withdrawal is addressed through the dissolution procedures in Article X.</w:t>
      </w:r>
    </w:p>
    <w:p>
      <w:pPr>
        <w:spacing w:after="60" w:before="120" w:line="276" w:lineRule="auto"/>
        <w:jc w:val="both"/>
      </w:pPr>
      <w:r>
        <w:rPr>
          <w:rFonts w:ascii="Times New Roman" w:cs="Times New Roman" w:eastAsia="Times New Roman" w:hAnsi="Times New Roman"/>
          <w:b/>
          <w:bCs/>
          <w:sz w:val="24"/>
          <w:szCs w:val="24"/>
        </w:rPr>
        <w:t xml:space="preserve">4.04 Tax Classification and Louisiana Tax</w:t>
      </w:r>
    </w:p>
    <w:p>
      <w:pPr>
        <w:spacing w:after="60" w:before="0" w:line="276" w:lineRule="auto"/>
        <w:jc w:val="both"/>
      </w:pPr>
      <w:r>
        <w:rPr>
          <w:rFonts w:ascii="Times New Roman" w:cs="Times New Roman" w:eastAsia="Times New Roman" w:hAnsi="Times New Roman"/>
          <w:sz w:val="24"/>
          <w:szCs w:val="24"/>
        </w:rPr>
        <w:t xml:space="preserve">The Company is a disregarded entity for federal income tax purposes by default. If the LLC is taxed as a corporation, Form CIFT-620 is due by May 15. Louisiana also offers a pass-through entity tax election (Form R-6980); termination via Form R-6983.</w:t>
      </w:r>
    </w:p>
    <w:p>
      <w:pPr>
        <w:spacing w:after="40" w:before="0" w:line="276" w:lineRule="auto"/>
      </w:pPr>
      <w:r>
        <w:rPr>
          <w:rFonts w:ascii="Times New Roman" w:cs="Times New Roman" w:eastAsia="Times New Roman" w:hAnsi="Times New Roman"/>
          <w:sz w:val="24"/>
          <w:szCs w:val="24"/>
        </w:rPr>
        <w:t xml:space="preserve">□  Default — Disregarded Entity     </w:t>
      </w:r>
      <w:r>
        <w:rPr>
          <w:rFonts w:ascii="Times New Roman" w:cs="Times New Roman" w:eastAsia="Times New Roman" w:hAnsi="Times New Roman"/>
          <w:sz w:val="24"/>
          <w:szCs w:val="24"/>
        </w:rPr>
        <w:t xml:space="preserve">□  S-Corporation (IRS Form 2553)     </w:t>
      </w:r>
      <w:r>
        <w:rPr>
          <w:rFonts w:ascii="Times New Roman" w:cs="Times New Roman" w:eastAsia="Times New Roman" w:hAnsi="Times New Roman"/>
          <w:sz w:val="24"/>
          <w:szCs w:val="24"/>
        </w:rPr>
        <w:t xml:space="preserve">□  C-Corporation (IRS Form 8832)     </w:t>
      </w:r>
    </w:p>
    <w:p>
      <w:pPr>
        <w:spacing w:after="40" w:before="0" w:line="276" w:lineRule="auto"/>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4.06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La. R.S. 12:1336 and the Member's positive capital account balance per Treasury Regulation § 1.704-1(b)(2)(iv) after satisfaction of all Company obligations.</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 — La. R.S. 12:1311</w:t>
      </w:r>
    </w:p>
    <w:p>
      <w:pPr>
        <w:spacing w:after="60" w:before="0" w:line="276" w:lineRule="auto"/>
        <w:jc w:val="both"/>
      </w:pPr>
      <w:r>
        <w:rPr>
          <w:rFonts w:ascii="Times New Roman" w:cs="Times New Roman" w:eastAsia="Times New Roman" w:hAnsi="Times New Roman"/>
          <w:sz w:val="24"/>
          <w:szCs w:val="24"/>
        </w:rPr>
        <w:t xml:space="preserve">Pursuant to La. R.S. 12:1311, Louisiana LLCs are member-managed by default. A manager-managed structure requires the Articles of Organization to provide for management by one or more managers (La. R.S. 12:1312). This Company is MEMBER-MANAGED. The Member has full authority over daily operations.</w:t>
      </w:r>
    </w:p>
    <w:p>
      <w:pPr>
        <w:spacing w:after="60" w:before="120" w:line="276" w:lineRule="auto"/>
        <w:jc w:val="both"/>
      </w:pPr>
      <w:r>
        <w:rPr>
          <w:rFonts w:ascii="Times New Roman" w:cs="Times New Roman" w:eastAsia="Times New Roman" w:hAnsi="Times New Roman"/>
          <w:b/>
          <w:bCs/>
          <w:sz w:val="24"/>
          <w:szCs w:val="24"/>
        </w:rPr>
        <w:t xml:space="preserve">5.02 Mandatary Authority — La. R.S. 12:1317</w:t>
      </w:r>
    </w:p>
    <w:p>
      <w:pPr>
        <w:spacing w:after="60" w:before="0" w:line="276" w:lineRule="auto"/>
        <w:jc w:val="both"/>
      </w:pPr>
      <w:r>
        <w:rPr>
          <w:rFonts w:ascii="Times New Roman" w:cs="Times New Roman" w:eastAsia="Times New Roman" w:hAnsi="Times New Roman"/>
          <w:sz w:val="24"/>
          <w:szCs w:val="24"/>
        </w:rPr>
        <w:t xml:space="preserve">Under La. R.S. 12:1317(A), the Member acts as mandatary (agent) of the Company for ordinary-course transactions, EXCEPT immovable-property (real estate) transactions unless this Agreement grants that authority.</w:t>
      </w:r>
    </w:p>
    <w:p>
      <w:pPr>
        <w:spacing w:after="60" w:before="0" w:line="276" w:lineRule="auto"/>
        <w:ind w:left="360"/>
        <w:jc w:val="both"/>
      </w:pPr>
      <w:r>
        <w:rPr>
          <w:rFonts w:ascii="Times New Roman" w:cs="Times New Roman" w:eastAsia="Times New Roman" w:hAnsi="Times New Roman"/>
          <w:sz w:val="24"/>
          <w:szCs w:val="24"/>
        </w:rPr>
        <w:t xml:space="preserve">(a)  Ordinary-course transactions: the Member is authorized to bind the Company.</w:t>
      </w:r>
    </w:p>
    <w:p>
      <w:pPr>
        <w:spacing w:after="60" w:before="0" w:line="276" w:lineRule="auto"/>
        <w:ind w:left="360"/>
        <w:jc w:val="both"/>
      </w:pPr>
      <w:r>
        <w:rPr>
          <w:rFonts w:ascii="Times New Roman" w:cs="Times New Roman" w:eastAsia="Times New Roman" w:hAnsi="Times New Roman"/>
          <w:sz w:val="24"/>
          <w:szCs w:val="24"/>
        </w:rPr>
        <w:t xml:space="preserve">(b)  Immovable-property transactions: the Member is authorized to execute, deliver, and record real-estate acquisitions, sales, mortgages, leases, and other instruments affecting immovable property on behalf of the Company.</w:t>
      </w:r>
    </w:p>
    <w:p>
      <w:pPr>
        <w:spacing w:after="60" w:before="120" w:line="276" w:lineRule="auto"/>
        <w:jc w:val="both"/>
      </w:pPr>
      <w:r>
        <w:rPr>
          <w:rFonts w:ascii="Times New Roman" w:cs="Times New Roman" w:eastAsia="Times New Roman" w:hAnsi="Times New Roman"/>
          <w:b/>
          <w:bCs/>
          <w:sz w:val="24"/>
          <w:szCs w:val="24"/>
        </w:rPr>
        <w:t xml:space="preserve">5.03 Authority Restrictions and Third-Party Notice — La. R.S. 12:1317(B)</w:t>
      </w:r>
    </w:p>
    <w:p>
      <w:pPr>
        <w:spacing w:after="60" w:before="0" w:line="276" w:lineRule="auto"/>
        <w:jc w:val="both"/>
      </w:pPr>
      <w:r>
        <w:rPr>
          <w:rFonts w:ascii="Times New Roman" w:cs="Times New Roman" w:eastAsia="Times New Roman" w:hAnsi="Times New Roman"/>
          <w:sz w:val="24"/>
          <w:szCs w:val="24"/>
        </w:rPr>
        <w:t xml:space="preserve">CRITICAL LOUISIANA RULE: Under La. R.S. 12:1317(B), restrictions on authority written into this Operating Agreement bind third parties ONLY if the Articles of Organization state that such restrictions exist. If any authority restriction below is to be effective against third parties, a corresponding statement must appear in the Articles.</w:t>
      </w:r>
    </w:p>
    <w:p>
      <w:pPr>
        <w:spacing w:after="40" w:before="0" w:line="276" w:lineRule="auto"/>
      </w:pPr>
      <w:r>
        <w:rPr>
          <w:rFonts w:ascii="Times New Roman" w:cs="Times New Roman" w:eastAsia="Times New Roman" w:hAnsi="Times New Roman"/>
          <w:sz w:val="24"/>
          <w:szCs w:val="24"/>
        </w:rPr>
        <w:t xml:space="preserve">Authority restrictions (if any):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Officers and Authorized Persons</w:t>
      </w:r>
    </w:p>
    <w:p>
      <w:pPr>
        <w:spacing w:after="40" w:before="0" w:line="276" w:lineRule="auto"/>
      </w:pPr>
      <w:r>
        <w:rPr>
          <w:rFonts w:ascii="Times New Roman" w:cs="Times New Roman" w:eastAsia="Times New Roman" w:hAnsi="Times New Roman"/>
          <w:sz w:val="24"/>
          <w:szCs w:val="24"/>
        </w:rPr>
        <w:t xml:space="preserve">Authorized Person(s) / Officer(s):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Fiduciary Duties — La. R.S. 12:1314</w:t>
      </w:r>
    </w:p>
    <w:p>
      <w:pPr>
        <w:spacing w:after="60" w:before="0" w:line="276" w:lineRule="auto"/>
        <w:jc w:val="both"/>
      </w:pPr>
      <w:r>
        <w:rPr>
          <w:rFonts w:ascii="Times New Roman" w:cs="Times New Roman" w:eastAsia="Times New Roman" w:hAnsi="Times New Roman"/>
          <w:sz w:val="24"/>
          <w:szCs w:val="24"/>
        </w:rPr>
        <w:t xml:space="preserve">Under La. R.S. 12:1314, in a member-managed LLC the Member stands in a fiduciary relationship to the Company. Louisiana codifies a gross-negligence standard for internal monetary liability. The Member shall act in good faith and in the best interests of the Company at all times.</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 — La. R.S. 12:1320</w:t>
      </w:r>
    </w:p>
    <w:p>
      <w:pPr>
        <w:spacing w:after="60" w:before="0" w:line="276" w:lineRule="auto"/>
        <w:jc w:val="both"/>
      </w:pPr>
      <w:r>
        <w:rPr>
          <w:rFonts w:ascii="Times New Roman" w:cs="Times New Roman" w:eastAsia="Times New Roman" w:hAnsi="Times New Roman"/>
          <w:sz w:val="24"/>
          <w:szCs w:val="24"/>
        </w:rPr>
        <w:t xml:space="preserve">Under La. R.S. 12:1320, the Member is not personally liable for Company debts solely by reason of being a Member. The Louisiana Supreme Court in Ogea v. Merritt (2013) confirmed that fraud, breach of professional duty, and negligent or wrongful acts fall OUTSIDE the statutory liability shield (La. R.S. 12:1320(D)).</w:t>
      </w:r>
    </w:p>
    <w:p>
      <w:pPr>
        <w:spacing w:after="60" w:before="120" w:line="276" w:lineRule="auto"/>
        <w:jc w:val="both"/>
      </w:pPr>
      <w:r>
        <w:rPr>
          <w:rFonts w:ascii="Times New Roman" w:cs="Times New Roman" w:eastAsia="Times New Roman" w:hAnsi="Times New Roman"/>
          <w:b/>
          <w:bCs/>
          <w:sz w:val="24"/>
          <w:szCs w:val="24"/>
        </w:rPr>
        <w:t xml:space="preserve">6.02 Indemnification — La. R.S. 12:1315</w:t>
      </w:r>
    </w:p>
    <w:p>
      <w:pPr>
        <w:spacing w:after="60" w:before="0" w:line="276" w:lineRule="auto"/>
        <w:jc w:val="both"/>
      </w:pPr>
      <w:r>
        <w:rPr>
          <w:rFonts w:ascii="Times New Roman" w:cs="Times New Roman" w:eastAsia="Times New Roman" w:hAnsi="Times New Roman"/>
          <w:sz w:val="24"/>
          <w:szCs w:val="24"/>
        </w:rPr>
        <w:t xml:space="preserve">Pursuant to La. R.S. 12:1315, this written Agreement provides: the Company shall indemnify the Member, officers, employees, and agents for judgments, settlements, penalties, fines, and expenses. EXCEPTIONS that cannot be overridden (La. R.S. 12:1315(B)): (1) improper financial benefit the Member was not entitled to receive; (2) an intentional violation of criminal law.</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shall not subject the Member to personal liability, except for fraud, breach of professional duty, or negligent or wrongful acts.</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Compensation</w:t>
      </w:r>
    </w:p>
    <w:p>
      <w:pPr>
        <w:spacing w:after="40" w:before="0" w:line="276" w:lineRule="auto"/>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 — La. R.S. 12:1319</w:t>
      </w:r>
    </w:p>
    <w:p>
      <w:pPr>
        <w:spacing w:after="60" w:before="0" w:line="276" w:lineRule="auto"/>
        <w:jc w:val="both"/>
      </w:pPr>
      <w:r>
        <w:rPr>
          <w:rFonts w:ascii="Times New Roman" w:cs="Times New Roman" w:eastAsia="Times New Roman" w:hAnsi="Times New Roman"/>
          <w:sz w:val="24"/>
          <w:szCs w:val="24"/>
        </w:rPr>
        <w:t xml:space="preserve">Per La. R.S. 12:1319: this signed written Agreement and all amendments; Articles of Organization and Initial Report; federal and state tax returns (3 years); financial statements (3 years); capital account ledger. Banks, lenders, and real estate transactions will require a copy of this signed Agreement.</w:t>
      </w:r>
    </w:p>
    <w:p>
      <w:pPr>
        <w:spacing w:after="60" w:before="120" w:line="276" w:lineRule="auto"/>
        <w:jc w:val="both"/>
      </w:pPr>
      <w:r>
        <w:rPr>
          <w:rFonts w:ascii="Times New Roman" w:cs="Times New Roman" w:eastAsia="Times New Roman" w:hAnsi="Times New Roman"/>
          <w:b/>
          <w:bCs/>
          <w:sz w:val="24"/>
          <w:szCs w:val="24"/>
        </w:rPr>
        <w:t xml:space="preserve">8.03 Annual Report — La. R.S. 12:1308.1</w:t>
      </w:r>
    </w:p>
    <w:p>
      <w:pPr>
        <w:spacing w:after="60" w:before="0" w:line="276" w:lineRule="auto"/>
        <w:jc w:val="both"/>
      </w:pPr>
      <w:r>
        <w:rPr>
          <w:rFonts w:ascii="Times New Roman" w:cs="Times New Roman" w:eastAsia="Times New Roman" w:hAnsi="Times New Roman"/>
          <w:sz w:val="24"/>
          <w:szCs w:val="24"/>
        </w:rPr>
        <w:t xml:space="preserve">Louisiana requires an annual report, due ON OR BEFORE THE ANNIVERSARY DATE of organization each year. Fee: $30. File via geauxBIZ. CRITICAL: failure to file for THREE CONSECUTIVE YEARS triggers revocation (La. R.S. 12:1308.2). A delinquent LLC is barred from state commercial operations and existing state contracts may be declared null and void (La. R.S. 12:1308.2(E)). Reinstatement must be filed within three years of the effective revocation date.</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Transfer of Membership Interest — La. R.S. 12:1332</w:t>
      </w:r>
    </w:p>
    <w:p>
      <w:pPr>
        <w:spacing w:after="60" w:before="0" w:line="276" w:lineRule="auto"/>
        <w:jc w:val="both"/>
      </w:pPr>
      <w:r>
        <w:rPr>
          <w:rFonts w:ascii="Times New Roman" w:cs="Times New Roman" w:eastAsia="Times New Roman" w:hAnsi="Times New Roman"/>
          <w:sz w:val="24"/>
          <w:szCs w:val="24"/>
        </w:rPr>
        <w:t xml:space="preserve">Under La. R.S. 12:1332(A)(1), an assignee does NOT become a member and does NOT participate in management unless the other members unanimously consent in writing. As a single-member LLC, any transfer of the full membership interest is addressed through the succession clause in Section 2.02 and the rights of the heir/legatee under La. R.S. 12:1333.1.</w:t>
      </w:r>
    </w:p>
    <w:p>
      <w:pPr>
        <w:spacing w:after="60" w:before="120" w:line="276" w:lineRule="auto"/>
        <w:jc w:val="both"/>
      </w:pPr>
      <w:r>
        <w:rPr>
          <w:rFonts w:ascii="Times New Roman" w:cs="Times New Roman" w:eastAsia="Times New Roman" w:hAnsi="Times New Roman"/>
          <w:b/>
          <w:bCs/>
          <w:sz w:val="24"/>
          <w:szCs w:val="24"/>
        </w:rPr>
        <w:t xml:space="preserve">9.02 Right of First Refusal</w:t>
      </w:r>
    </w:p>
    <w:p>
      <w:pPr>
        <w:spacing w:after="60" w:before="0" w:line="276" w:lineRule="auto"/>
        <w:jc w:val="both"/>
      </w:pPr>
      <w:r>
        <w:rPr>
          <w:rFonts w:ascii="Times New Roman" w:cs="Times New Roman" w:eastAsia="Times New Roman" w:hAnsi="Times New Roman"/>
          <w:sz w:val="24"/>
          <w:szCs w:val="24"/>
        </w:rPr>
        <w:t xml:space="preserve">Before transferring any interest to a third party, the Company shall have a right of first refusal to purchase that interest at fair market value.</w:t>
      </w:r>
    </w:p>
    <w:p>
      <w:pPr>
        <w:spacing w:after="40" w:before="0" w:line="276" w:lineRule="auto"/>
      </w:pPr>
      <w:r>
        <w:rPr>
          <w:rFonts w:ascii="Times New Roman" w:cs="Times New Roman" w:eastAsia="Times New Roman" w:hAnsi="Times New Roman"/>
          <w:sz w:val="24"/>
          <w:szCs w:val="24"/>
        </w:rPr>
        <w:t xml:space="preserve">Days to exercise right of first refusal: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Dissolution Triggers — La. R.S. 12:1335</w:t>
      </w:r>
    </w:p>
    <w:p>
      <w:pPr>
        <w:spacing w:after="60" w:before="0" w:line="276" w:lineRule="auto"/>
        <w:ind w:left="360"/>
        <w:jc w:val="both"/>
      </w:pPr>
      <w:r>
        <w:rPr>
          <w:rFonts w:ascii="Times New Roman" w:cs="Times New Roman" w:eastAsia="Times New Roman" w:hAnsi="Times New Roman"/>
          <w:sz w:val="24"/>
          <w:szCs w:val="24"/>
        </w:rPr>
        <w:t xml:space="preserve">(a)  The Member's written election to dissolve;</w:t>
      </w:r>
    </w:p>
    <w:p>
      <w:pPr>
        <w:spacing w:after="60" w:before="0" w:line="276" w:lineRule="auto"/>
        <w:ind w:left="360"/>
        <w:jc w:val="both"/>
      </w:pPr>
      <w:r>
        <w:rPr>
          <w:rFonts w:ascii="Times New Roman" w:cs="Times New Roman" w:eastAsia="Times New Roman" w:hAnsi="Times New Roman"/>
          <w:sz w:val="24"/>
          <w:szCs w:val="24"/>
        </w:rPr>
        <w:t xml:space="preserve">(b)  Judicial dissolution under La. R.S. 12:1335;</w:t>
      </w:r>
    </w:p>
    <w:p>
      <w:pPr>
        <w:spacing w:after="60" w:before="0" w:line="276" w:lineRule="auto"/>
        <w:ind w:left="360"/>
        <w:jc w:val="both"/>
      </w:pPr>
      <w:r>
        <w:rPr>
          <w:rFonts w:ascii="Times New Roman" w:cs="Times New Roman" w:eastAsia="Times New Roman" w:hAnsi="Times New Roman"/>
          <w:sz w:val="24"/>
          <w:szCs w:val="24"/>
        </w:rPr>
        <w:t xml:space="preserve">(c)  Administrative dissolution by the Louisiana Secretary of State for failure to file three consecutive annual reports (La. R.S. 12:1308.2); or</w:t>
      </w:r>
    </w:p>
    <w:p>
      <w:pPr>
        <w:spacing w:after="60" w:before="0" w:line="276" w:lineRule="auto"/>
        <w:ind w:left="360"/>
        <w:jc w:val="both"/>
      </w:pPr>
      <w:r>
        <w:rPr>
          <w:rFonts w:ascii="Times New Roman" w:cs="Times New Roman" w:eastAsia="Times New Roman" w:hAnsi="Times New Roman"/>
          <w:sz w:val="24"/>
          <w:szCs w:val="24"/>
        </w:rPr>
        <w:t xml:space="preserve">(d)  Any other event specified in the Articles of Organization.</w:t>
      </w:r>
    </w:p>
    <w:p>
      <w:pPr>
        <w:spacing w:after="60" w:before="120" w:line="276" w:lineRule="auto"/>
        <w:jc w:val="both"/>
      </w:pPr>
      <w:r>
        <w:rPr>
          <w:rFonts w:ascii="Times New Roman" w:cs="Times New Roman" w:eastAsia="Times New Roman" w:hAnsi="Times New Roman"/>
          <w:b/>
          <w:bCs/>
          <w:sz w:val="24"/>
          <w:szCs w:val="24"/>
        </w:rPr>
        <w:t xml:space="preserve">10.02 Winding Up and Liquidator — La. R.S. 12:1336</w:t>
      </w:r>
    </w:p>
    <w:p>
      <w:pPr>
        <w:spacing w:after="40" w:before="0" w:line="276" w:lineRule="auto"/>
      </w:pPr>
      <w:r>
        <w:rPr>
          <w:rFonts w:ascii="Times New Roman" w:cs="Times New Roman" w:eastAsia="Times New Roman" w:hAnsi="Times New Roman"/>
          <w:sz w:val="24"/>
          <w:szCs w:val="24"/>
        </w:rPr>
        <w:t xml:space="preserve">Liquidator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Upon dissolution, winding up proceeds per La. R.S. 12:1336. NOTE: Louisiana requires newspaper publication in certain dissolution and liquidation procedures (La. R.S. 12:1338, 12:1339). Publication is NOT required for formation — only for dissolution/liquidation steps.</w:t>
      </w:r>
    </w:p>
    <w:p>
      <w:pPr>
        <w:spacing w:after="60" w:before="0" w:line="276" w:lineRule="auto"/>
        <w:jc w:val="both"/>
      </w:pPr>
      <w:r>
        <w:rPr>
          <w:rFonts w:ascii="Times New Roman" w:cs="Times New Roman" w:eastAsia="Times New Roman" w:hAnsi="Times New Roman"/>
          <w:sz w:val="24"/>
          <w:szCs w:val="24"/>
        </w:rPr>
        <w:t xml:space="preserve">Order: (1) pay all creditors; (2) allocate remaining income/loss to capital account; (3) distribute remaining assets to the Member.</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Louisiana, including Louisiana Revised Statutes Title 12, Chapter 22.</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This Agreement may be amended only by a written amendment signed by the Member, consistent with La. R.S. 12:1318(B).</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Parish: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Louisiana.</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Initial Report, and all exhibits constitute the complete written agreement of the Member.</w:t>
      </w:r>
    </w:p>
    <w:p>
      <w:pPr>
        <w:spacing w:after="60" w:before="120" w:line="276" w:lineRule="auto"/>
        <w:jc w:val="both"/>
      </w:pPr>
      <w:r>
        <w:rPr>
          <w:rFonts w:ascii="Times New Roman" w:cs="Times New Roman" w:eastAsia="Times New Roman" w:hAnsi="Times New Roman"/>
          <w:b/>
          <w:bCs/>
          <w:sz w:val="24"/>
          <w:szCs w:val="24"/>
        </w:rPr>
        <w:t xml:space="preserve">11.06 No Filing Required / No Notarization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Louisiana Secretary of State and requires no notarization (La. R.S. 12:1305(E) requires notarization only for the registered agent's Initial Report affidavit, not this Agreement). Keep signed originals with Company records per La. R.S. 12:1319.</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executed this written Operating Agreement as of the date first written above, constituting a valid written operating agreement under La. R.S. 12:1301(A)(16).</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Louisiana Single-Member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designated as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below may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personal funds.</w:t>
      </w:r>
    </w:p>
    <w:p>
      <w:pPr>
        <w:spacing w:after="40" w:before="0" w:line="276" w:lineRule="auto"/>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Louisiana-specific statute references under Louisiana Revised Statutes Title 12, Chapter 22, the Louisiana Limited Liability Company Law, including Acts 2022, No. 156 (La. R.S. 12:1333.1).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Louisiana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Louisiana LLC Resources:</w:t>
      </w:r>
    </w:p>
    <w:p>
      <w:pPr>
        <w:spacing w:after="40" w:before="0" w:line="276" w:lineRule="auto"/>
      </w:pPr>
      <w:hyperlink w:history="1" r:id="rIdbvls1wxp607lttnoh73tu">
        <w:r>
          <w:rPr>
            <w:rFonts w:ascii="Times New Roman" w:cs="Times New Roman" w:eastAsia="Times New Roman" w:hAnsi="Times New Roman"/>
            <w:color w:val="0000FF"/>
            <w:sz w:val="24"/>
            <w:szCs w:val="24"/>
            <w:u w:val="single"/>
          </w:rPr>
          <w:t xml:space="preserve">→  https://boostsuite.com/llc-operating-agreement/louisiana/</w:t>
        </w:r>
      </w:hyperlink>
    </w:p>
    <w:p>
      <w:pPr>
        <w:spacing w:after="40" w:before="0" w:line="276" w:lineRule="auto"/>
      </w:pPr>
      <w:hyperlink w:history="1" r:id="rIdnzoz7iis_i-fuedswp9zw">
        <w:r>
          <w:rPr>
            <w:rFonts w:ascii="Times New Roman" w:cs="Times New Roman" w:eastAsia="Times New Roman" w:hAnsi="Times New Roman"/>
            <w:color w:val="0000FF"/>
            <w:sz w:val="24"/>
            <w:szCs w:val="24"/>
            <w:u w:val="single"/>
          </w:rPr>
          <w:t xml:space="preserve">→  https://boostsuite.com/how-to-start-an-llc/louisiana/</w:t>
        </w:r>
      </w:hyperlink>
    </w:p>
    <w:p>
      <w:pPr>
        <w:spacing w:after="40" w:before="0" w:line="276" w:lineRule="auto"/>
      </w:pPr>
      <w:hyperlink w:history="1" r:id="rIddwjagur16xcrz1lmuqajp">
        <w:r>
          <w:rPr>
            <w:rFonts w:ascii="Times New Roman" w:cs="Times New Roman" w:eastAsia="Times New Roman" w:hAnsi="Times New Roman"/>
            <w:color w:val="0000FF"/>
            <w:sz w:val="24"/>
            <w:szCs w:val="24"/>
            <w:u w:val="single"/>
          </w:rPr>
          <w:t xml:space="preserve">→  https://boostsuite.com/how-to-start-an-llc/cost/louisiana/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bvls1wxp607lttnoh73tu" Type="http://schemas.openxmlformats.org/officeDocument/2006/relationships/hyperlink" Target="https://boostsuite.com/llc-operating-agreement/louisiana/" TargetMode="External"/><Relationship Id="rIdnzoz7iis_i-fuedswp9zw" Type="http://schemas.openxmlformats.org/officeDocument/2006/relationships/hyperlink" Target="https://boostsuite.com/how-to-start-an-llc/louisiana/" TargetMode="External"/><Relationship Id="rIddwjagur16xcrz1lmuqajp" Type="http://schemas.openxmlformats.org/officeDocument/2006/relationships/hyperlink" Target="https://boostsuite.com/how-to-start-an-llc/cost/louisia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2026-04-15T04:11:03.893Z</dcterms:created>
  <dcterms:modified xsi:type="dcterms:W3CDTF">2026-04-15T04:11:03.894Z</dcterms:modified>
</cp:coreProperties>
</file>

<file path=docProps/custom.xml><?xml version="1.0" encoding="utf-8"?>
<Properties xmlns="http://schemas.openxmlformats.org/officeDocument/2006/custom-properties" xmlns:vt="http://schemas.openxmlformats.org/officeDocument/2006/docPropsVTypes"/>
</file>