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OPERATING AGREEMENT</w:t>
      </w:r>
    </w:p>
    <w:p>
      <w:pPr>
        <w:spacing w:after="4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FOR</w:t>
      </w:r>
    </w:p>
    <w:p>
      <w:pPr>
        <w:spacing w:after="40" w:before="0" w:line="276" w:lineRule="auto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 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, LLC</w:t>
      </w:r>
    </w:p>
    <w:p>
      <w:pPr>
        <w:spacing w:after="2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 LOUISIANA MULTI-MEMBER LIMITED LIABILITY COMPANY</w:t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(MEMBER-MANAGED)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Effective Date: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80" w:before="0" w:line="276" w:lineRule="auto"/>
      </w:pP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I — FORMATION AND ORGANIZATION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1.01 Formation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LLC was formed by filing Articles of Organization and an Initial Report with the Louisiana Secretary of State pursuant to La. R.S. 12:1304, the Louisiana Limited Liability Company Law. This Agreement governs the Company's affairs. This Agreement is not filed with the Louisiana Secretary of State.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Articles of Organization Filing Date: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1.02 Name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LLC Name: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LLC name must match the Articles of Organization exactly, including punctuation.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1.03 Registered Agent and Registered Office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requires every LLC to maintain a registered agent with a physical address in the state (La. R.S. 12:1305). The Initial Report requires a notarized affidavit of acknowledgment from each registered agent.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Registered Agent: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</w:t>
      </w:r>
    </w:p>
    <w:p>
      <w:pPr>
        <w:spacing w:after="2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Registered Office Address (physical Louisiana street address):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1.04 Principal Office</w:t>
      </w:r>
    </w:p>
    <w:p>
      <w:pPr>
        <w:spacing w:after="2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Principal Office Address: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1.05 Business Purpose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Specific Purpose (if any):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LLC may engage in any lawful business activity permitted under Louisiana law.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1.06 Duration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Perpetual, unless dissolved per this Agreement or pursuant to La. R.S. 12:1335.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1.07 Written Operating Agreement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La. R.S. 12:1301(A)(16) allows multi-member LLCs to have written or oral operating agreements. However, several Louisiana default rules — including profit allocation (La. R.S. 12:1323), interim distributions (La. R.S. 12:1324), withdrawal (La. R.S. 12:1325), and assignee admission (La. R.S. 12:1332) — only yield to a WRITTEN operating agreement. This Agreement is in writing to ensure all defaults are effectively overridden.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II — MEMBERS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2.01 Members and Ownership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53"/>
        <w:gridCol w:w="3182"/>
        <w:gridCol w:w="2059"/>
        <w:gridCol w:w="1966"/>
      </w:tblGrid>
      <w:tr>
        <w:tc>
          <w:tcPr>
            <w:tcW w:type="dxa" w:w="21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Member Name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Address</w:t>
            </w:r>
          </w:p>
        </w:tc>
        <w:tc>
          <w:tcPr>
            <w:tcW w:type="dxa" w:w="205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Contribution ($)</w:t>
            </w:r>
          </w:p>
        </w:tc>
        <w:tc>
          <w:tcPr>
            <w:tcW w:type="dxa" w:w="196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% Interest</w:t>
            </w:r>
          </w:p>
        </w:tc>
      </w:tr>
      <w:tr>
        <w:tc>
          <w:tcPr>
            <w:tcW w:type="dxa" w:w="21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05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</w:t>
            </w:r>
          </w:p>
        </w:tc>
        <w:tc>
          <w:tcPr>
            <w:tcW w:type="dxa" w:w="196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</w:t>
            </w:r>
          </w:p>
        </w:tc>
      </w:tr>
      <w:tr>
        <w:tc>
          <w:tcPr>
            <w:tcW w:type="dxa" w:w="21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05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</w:t>
            </w:r>
          </w:p>
        </w:tc>
        <w:tc>
          <w:tcPr>
            <w:tcW w:type="dxa" w:w="196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</w:t>
            </w:r>
          </w:p>
        </w:tc>
      </w:tr>
      <w:tr>
        <w:tc>
          <w:tcPr>
            <w:tcW w:type="dxa" w:w="21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05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</w:t>
            </w:r>
          </w:p>
        </w:tc>
        <w:tc>
          <w:tcPr>
            <w:tcW w:type="dxa" w:w="196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</w:t>
            </w:r>
          </w:p>
        </w:tc>
      </w:tr>
      <w:tr>
        <w:tc>
          <w:tcPr>
            <w:tcW w:type="dxa" w:w="21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05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</w:t>
            </w:r>
          </w:p>
        </w:tc>
        <w:tc>
          <w:tcPr>
            <w:tcW w:type="dxa" w:w="196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</w:t>
            </w:r>
          </w:p>
        </w:tc>
      </w:tr>
    </w:tbl>
    <w:p>
      <w:pPr>
        <w:spacing w:after="60" w:before="40" w:line="276" w:lineRule="auto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*(Attach additional pages as needed)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2.02 The Four Louisiana Default Traps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Agreement overrides the four Louisiana defaults that collide most dangerously in a multi-member LLC: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(1)  EQUAL profit/loss (La. R.S. 12:1323) → overridden in Art. IV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(2)  ONE MEMBER ONE VOTE (La. R.S. 12:1318) → overridden in Art. V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(3)  30-DAY WITHDRAWAL + FMV payout (La. R.S. 12:1325) → overridden in Art. IX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(4)  UNANIMOUS consent for assignee admission (La. R.S. 12:1332) → see Art. IX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2.03 Non-Liability — La. R.S. 12:1320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 Member is personally liable for Company debts solely by reason of being a Member. Fraud, breach of professional duty, and negligent or wrongful acts fall outside the shield (La. R.S. 12:1320(D); Ogea v. Merritt, La. SC 2013).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2.04 Admission of New Members — La. R.S. 12:1332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Under La. R.S. 12:1332(A)(1), unanimous written consent of all other members is required by default. This Agreement provides: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Unanimous written consent (La. R.S. 12:1332 default)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vote of existing members (written OA override)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2.05 Other Business Activities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Non-Compete Terms (if any):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III — CAPITAL CONTRIBUTIONS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3.01 Initial Contributions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As listed in Section 2.01 and Exhibit 1. This clause, combined with the pro-rata allocation in Article IV, overrides Louisiana's equal-split defaults under La. R.S. 12:1323 and 12:1324.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Contributions due on or by: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3.02 Additional Contributions / Capital Calls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May be required by: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vote of members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Unanimous written consent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Capital call process: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3.03 No Interest on Capital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 interest shall be paid on capital contributions.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3.04 Capital Accounts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Maintained per Treasury Regulation § 1.704-1(b)(2)(iv), reflecting each Member's contributions, distributions, and allocated profits or losses.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3.05 Withdrawal Restrictions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 withdrawal of capital except as provided in this Agreement or upon dissolution.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IV — PROFITS, LOSSES, AND DISTRIBUTIONS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4.01 Profits and Losses — La. R.S. 12:1323 Written Override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DEFAULT TRAP: La. R.S. 12:1323 allocates profits and losses EQUALLY among all members regardless of capital contribution. A 90% owner and a 10% owner receive identical shares by default. This WRITTEN Agreement overrides that default: profits, losses, income, gain, deduction, and credit are allocated per each Member's PERCENTAGE INTEREST as listed in Section 2.01.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4.02 Interim Distributions — La. R.S. 12:1324 Written Override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Distributed per percentage interest, as decided by: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vote of members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Unanimous written consent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DEFAULT TRAP: La. R.S. 12:1324 distributes interim distributions EQUALLY. This WRITTEN Agreement overrides that default and ties distributions to each Member's percentage interest.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Distribution Schedule: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4.03 Tax Distribution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Company shall distribute to each Member an amount sufficient to cover their estimated federal and Louisiana income tax liability on allocated Company income each year.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4.04 Louisiana Tax Classification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Multi-member LLCs taxed as partnerships file IT-565 with the Louisiana Department of Revenue by May 15 (calendar-year filers). LLCs taxed as corporations file Form CIFT-620 by May 15. Louisiana PTE election: Form R-6980; termination: Form R-6983.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Partnership (default — IT-565)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S-Corporation (IRS Form 2553)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Other classification (specify):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4.05 Tax Year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Calendar year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Fiscal year ending: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Fiscal year end date: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4.06 Tax Matters Partner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4.07 Bank Accounts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Designated Member(s) authorized for banking: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Company funds shall NOT be commingled with personal funds of any Member.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4.08 Title to Assets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All property shall be held in the Company's name.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V — MANAGEMENT (MEMBER-MANAGED)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5.01 Member-Managed Structure — La. R.S. 12:1311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Pursuant to La. R.S. 12:1311, Louisiana LLCs are member-managed by default. A manager-managed structure requires the Articles of Organization to provide for management by managers (La. R.S. 12:1312). This Company is MEMBER-MANAGED per this Agreement.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5.02 Voting — La. R.S. 12:1318 Written Override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DEFAULT TRAP: La. R.S. 12:1318 gives each member ONE VOTE regardless of ownership percentage. A 90% owner and a 10% owner carry equal weight by default. This WRITTEN Agreement overrides that default: each Member's voting power equals their PERCENTAGE INTEREST as listed in Section 2.01.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5.03 Routine Decisions — Majority by Percentage Interest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Ordinary business decisions require a majority of voting interests (&gt;50%).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5.04 Actions Always Requiring Majority Vote — La. R.S. 12:1318(B)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Under La. R.S. 12:1318(B), the following always require a MAJORITY VOTE of the members regardless of this Agreement: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Dissolution and winding up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Sale or transfer of substantially all assets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Merger or consolidation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Extraordinary debt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Immovable-property (real estate) transactions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Amendments to the Articles of Organization or this Operating Agreement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Threshold for the above (may be raised above majority, not lowered below):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by percentage interest (La. R.S. 12:1318(B) minimum)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Supermajority (specify below):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Supermajority threshold (if selected):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%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5.05 Mandatary Authority — La. R.S. 12:1317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Under La. R.S. 12:1317(A), each member is a MANDATARY of the Company for ordinary-course transactions, EXCEPT immovable-property (real estate) transactions. Immovable-property transactions require a majority vote per Section 5.04.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5.06 Authority Restrictions and Third-Party Notice — La. R.S. 12:1317(B)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CRITICAL LOUISIANA RULE: restrictions written into this Agreement bind third parties ONLY if the Articles of Organization state that such restrictions exist (La. R.S. 12:1317(B) and La. R.S. 12:1305(C)).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Authority restrictions (if any):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5.07 Deadlock Prevention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If Members deadlock on a majority vote, the dispute shall be submitted to mediation before judicial dissolution under La. R.S. 12:1335.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Mediator selection method: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5.08 Members' Meetings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Days' written notice required: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Quorum: Members holding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% or more of voting interests.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Annual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As needed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Other: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Written minutes kept in Company records per La. R.S. 12:1319.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5.09 Officers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President: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Secretary: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Treasurer: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5.10 Fiduciary Duties — La. R.S. 12:1314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Under La. R.S. 12:1314, members stand in a fiduciary relationship to the Company in a member-managed LLC. Louisiana codifies a gross-negligence standard. All Members shall act in good faith.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VI — LIABILITY AND INDEMNIFICATION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6.01 Non-Liability — La. R.S. 12:1320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 Member is personally liable for Company obligations solely by reason of being a Member. Fraud, breach of professional duty, and negligent or wrongful acts fall outside the shield (La. R.S. 12:1320(D); Ogea v. Merritt, La. SC 2013).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6.02 Indemnification — La. R.S. 12:1315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Pursuant to La. R.S. 12:1315, this WRITTEN Agreement provides: the Company shall indemnify Members, officers, and agents for judgments, settlements, penalties, fines, and expenses. Non-overridable exceptions (La. R.S. 12:1315(B)): (1) improper financial benefit; (2) intentional criminal violation.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VIII — BOOKS AND RECORDS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8.01 Records Location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Address: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8.02 Required Records — La. R.S. 12:1319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Per La. R.S. 12:1319: this written Agreement and all amendments; Articles of Organization, Initial Report; federal and state tax returns (3 years); financial statements (3 years); membership register; meeting minutes. Banks, lenders, and real estate transactions will request a copy of this signed Agreement.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8.03 Annual Report — La. R.S. 12:1308.1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requires an annual report, due ON OR BEFORE THE ANNIVERSARY DATE of organization each year. Fee: $30. File via geauxBIZ (online within 30 days of renewal date) or printable form (up to 4 weeks before due date). CRITICAL: failure to file for THREE CONSECUTIVE YEARS triggers revocation (La. R.S. 12:1308.2). The SOS gives at least 30 days' notice before revoking. A delinquent LLC is barred from state commercial operations and existing state contracts may be declared null and void (La. R.S. 12:1308.2(E)). Reinstatement must be filed within three years of the effective revocation date.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IX — TRANSFER AND WITHDRAWAL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9.01 Withdrawal — La. R.S. 12:1325 Written Override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DEFAULT TRAP: Under La. R.S. 12:1325, in a no-term LLC a member may withdraw on at least 30 days' prior written notice and demand the FAIR MARKET VALUE of their interest within a reasonable time. This WRITTEN Agreement overrides that default: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Written notice required — days before effective date: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Withdrawal payout terms: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Installment payments over 12 months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Installment payments over 24 months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Installment payments over 36 months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Other payout terms (specify):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9.02 Transfer of Membership Interest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 member may transfer the economic rights of their membership interest. The transferee receives only the right to distributions and does not become a full member or participate in management unless admitted under Section 9.03.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9.03 Assignee Admission — La. R.S. 12:1332 Written Override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DEFAULT: La. R.S. 12:1332(A)(1) requires unanimous written consent of all other members before an assignee becomes a full member. This WRITTEN Agreement provides: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Unanimous written consent (La. R.S. 12:1332 default)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vote of existing members (written OA override)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9.04 Right of First Refusal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 selling Member must first offer the interest to other Members in writing.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Days for other Members to accept ROFR offer: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Purchase price determined by: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Fair market value by independent appraiser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Book value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Agreed value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Other price method: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9.05 Buy-Sell Triggers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Mandatory buyout of a departing member's interest is triggered by: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Death of a Member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Disability of a Member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Voluntary withdrawal per Section 9.01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Bankruptcy of a Member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X — DISSOLUTION AND WINDING UP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10.01 Dissolution Triggers — La. R.S. 12:1335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Under La. R.S. 12:1318(B), dissolution and winding up requires a MAJORITY VOTE of the members even in a manager-managed LLC. This Agreement specifies: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vote of members (La. R.S. 12:1318(B) minimum)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Unanimous written consent of all Members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Additional triggers: events specified in the Articles; judicial dissolution under La. R.S. 12:1335; administrative revocation under La. R.S. 12:1308.2.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10.02 Winding Up and Liquidator — La. R.S. 12:1336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Liquidator Name: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Upon dissolution, the liquidator winds up Company affairs per La. R.S. 12:1336. NOTE: Louisiana requires newspaper publication in certain dissolution and liquidation procedures (La. R.S. 12:1338, 12:1339). Publication is NOT required for formation — only for dissolution/liquidation steps.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Order: (1) creditors; (2) members per positive capital account balances and percentage interests.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10.03 Continuation Vote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Days for remaining Members to vote to continue (upon Member departure):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XI — GENERAL PROVISIONS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11.01 Governing Law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Agreement shall be governed by the laws of the State of Louisiana, including Louisiana Revised Statutes Title 12, Chapter 22.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11.02 Amendment — La. R.S. 12:1318(B)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Under La. R.S. 12:1318(B), amendments to this Operating Agreement require a MAJORITY VOTE of the members at minimum. This Agreement specifies: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11.03 Dispute Resolution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Louisiana's LLC chapter does not impose a default arbitration clause. The parties agree to: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Mediation first (mutually agreed mediator)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Binding arbitration per AAA rules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Louisiana court litigation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11.04 Venue</w:t>
      </w:r>
    </w:p>
    <w:p>
      <w:pPr>
        <w:spacing w:after="6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Parish: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Louisiana.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11.05 Severability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If any provision is held invalid, it shall be severed; the remainder shall continue in full force.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11.06 Entire Agreement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Agreement, the Articles of Organization, Initial Report, and all exhibits constitute the complete agreement.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11.07 No Filing Required / No Notarization Required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Agreement shall not be filed with the Louisiana Secretary of State and requires no notarization. Notarization applies only to the registered agent's Initial Report affidavit (La. R.S. 12:1305(E)). Keep signed originals with Company records per La. R.S. 12:1319.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by percentage interest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Unanimous written consent of all Members     </w:t>
      </w:r>
    </w:p>
    <w:p>
      <w:pPr>
        <w:spacing w:after="0" w:before="120" w:line="276" w:lineRule="auto"/>
      </w:pP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SIGNATURE BLOCKS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IN WITNESS WHEREOF, the Members have executed this written Operating Agreement as of the date first written above.</w:t>
      </w:r>
    </w:p>
    <w:p>
      <w:pPr>
        <w:spacing w:after="0" w:before="60" w:line="276" w:lineRule="auto"/>
      </w:pP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Date — Member 1: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Signature — Member 1: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Printed Name — Member 1: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Percentage Interest — Member 1: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%</w:t>
      </w:r>
    </w:p>
    <w:p>
      <w:pPr>
        <w:spacing w:after="0" w:before="40" w:line="276" w:lineRule="auto"/>
      </w:pP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Date — Member 2: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Signature — Member 2: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Printed Name — Member 2: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Percentage Interest — Member 2: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%</w:t>
      </w:r>
    </w:p>
    <w:p>
      <w:pPr>
        <w:spacing w:after="0" w:before="40" w:line="276" w:lineRule="auto"/>
      </w:pP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Date — Member 3: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Signature — Member 3: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Printed Name — Member 3: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Percentage Interest — Member 3: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%</w:t>
      </w:r>
    </w:p>
    <w:p>
      <w:pPr>
        <w:spacing w:after="0" w:before="40" w:line="276" w:lineRule="auto"/>
      </w:pP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[Attach additional signature pages as needed]</w:t>
      </w:r>
    </w:p>
    <w:p>
      <w:pPr>
        <w:spacing w:after="0" w:before="0" w:line="276" w:lineRule="auto"/>
      </w:pPr>
      <w:r>
        <w:br w:type="page"/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EXHIBIT 1 — CAPITAL CONTRIBUTIONS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Exhibit is attached to the Operating Agreement for (LLC Name):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            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Multi-Member Limited Liability Company.</w:t>
      </w:r>
    </w:p>
    <w:p>
      <w:pPr>
        <w:spacing w:after="0" w:before="40" w:line="276" w:lineRule="auto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39"/>
        <w:gridCol w:w="2621"/>
      </w:tblGrid>
      <w:tr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Description of Contribution</w:t>
            </w:r>
          </w:p>
        </w:tc>
        <w:tc>
          <w:tcPr>
            <w:tcW w:type="dxa" w:w="262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Amount ($)</w:t>
            </w:r>
          </w:p>
        </w:tc>
      </w:tr>
      <w:tr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62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</w:t>
            </w:r>
          </w:p>
        </w:tc>
      </w:tr>
      <w:tr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62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</w:t>
            </w:r>
          </w:p>
        </w:tc>
      </w:tr>
      <w:tr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62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</w:t>
            </w:r>
          </w:p>
        </w:tc>
      </w:tr>
      <w:tr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62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</w:t>
            </w:r>
          </w:p>
        </w:tc>
      </w:tr>
      <w:tr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TOTAL INITIAL CONTRIBUTION</w:t>
            </w:r>
          </w:p>
        </w:tc>
        <w:tc>
          <w:tcPr>
            <w:tcW w:type="dxa" w:w="262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</w:t>
            </w:r>
          </w:p>
        </w:tc>
      </w:tr>
    </w:tbl>
    <w:p>
      <w:pPr>
        <w:spacing w:after="0" w:before="80" w:line="276" w:lineRule="auto"/>
      </w:pP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SIGNED this: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Signature: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Printed Name: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</w:t>
      </w:r>
    </w:p>
    <w:p>
      <w:pPr>
        <w:spacing w:after="0" w:before="0" w:line="276" w:lineRule="auto"/>
      </w:pPr>
      <w:r>
        <w:br w:type="page"/>
      </w:r>
    </w:p>
    <w:p>
      <w:pPr>
        <w:spacing w:after="12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LEGAL DISCLAIMER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Operating Agreement template is provided by Boost Suite (boostsuite.com) for informational and educational purposes only. It does not constitute legal advice and should not be relied upon as a substitute for consultation with a licensed attorney.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template is customized with Louisiana-specific statute references under Louisiana Revised Statutes Title 12, Chapter 22, the Louisiana Limited Liability Company Law, including Acts 2022, No. 156 (La. R.S. 12:1333.1). It may not address all legal requirements specific to your LLC or situation.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Boost Suite, Aaron Kra JD, and all affiliated parties are not a law firm and do not provide legal services. Consult a licensed Louisiana attorney before executing this Operating Agreement.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Use at your own risk. Boost Suite assumes no liability for any consequences resulting from the use of this document.</w:t>
      </w:r>
    </w:p>
    <w:p>
      <w:pPr>
        <w:spacing w:after="0" w:before="80" w:line="276" w:lineRule="auto"/>
      </w:pPr>
    </w:p>
    <w:p>
      <w:pPr>
        <w:spacing w:after="60" w:before="0" w:line="27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Your Louisiana LLC Resources:</w:t>
      </w:r>
    </w:p>
    <w:p>
      <w:pPr>
        <w:spacing w:after="40" w:before="0" w:line="276" w:lineRule="auto"/>
      </w:pPr>
      <w:hyperlink w:history="1" r:id="rIdbvls1wxp607lttnoh73tu">
        <w:r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</w:rPr>
          <w:t xml:space="preserve">→  https://boostsuite.com/llc-operating-agreement/louisiana/</w:t>
        </w:r>
      </w:hyperlink>
    </w:p>
    <w:p>
      <w:pPr>
        <w:spacing w:after="40" w:before="0" w:line="276" w:lineRule="auto"/>
      </w:pPr>
      <w:hyperlink w:history="1" r:id="rIdnzoz7iis_i-fuedswp9zw">
        <w:r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</w:rPr>
          <w:t xml:space="preserve">→  https://boostsuite.com/how-to-start-an-llc/louisiana/</w:t>
        </w:r>
      </w:hyperlink>
    </w:p>
    <w:p>
      <w:pPr>
        <w:spacing w:after="40" w:before="0" w:line="276" w:lineRule="auto"/>
      </w:pPr>
      <w:hyperlink w:history="1" r:id="rIddwjagur16xcrz1lmuqajp">
        <w:r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</w:rPr>
          <w:t xml:space="preserve">→  https://boostsuite.com/how-to-start-an-llc/cost/louisiana/</w:t>
        </w:r>
      </w:hyperlink>
    </w:p>
    <w:p>
      <w:pPr>
        <w:spacing w:after="0" w:before="80" w:line="276" w:lineRule="auto"/>
      </w:pPr>
    </w:p>
    <w:p>
      <w:pPr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© 2026 Boost Suite — All rights reserved.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/>
      <w:jc w:val="right"/>
    </w:pPr>
    <w:r>
      <w:rPr>
        <w:rFonts w:ascii="Times New Roman" w:cs="Times New Roman" w:eastAsia="Times New Roman" w:hAnsi="Times New Roman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2026-04-15T04:11:03.930Z</dcterms:created>
  <dcterms:modified xsi:type="dcterms:W3CDTF">2026-04-15T04:11:03.930Z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