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 KANSAS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(Form DL) with the Kansas Secretary of State pursuant to the Kansas Revised Limited Liability Company Act (K.S.A. 17-76 et seq.). Under K.S.A. 17-7673(c), an operating agreement "shall be entered into or otherwise existing" before, after, or at the time of filing. This written Agreement satisfies that statutory requirement. This Agreement is not filed with the Kansas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(Form DL) exactly.</w:t>
      </w:r>
    </w:p>
    <w:p>
      <w:pPr>
        <w:spacing w:after="60" w:before="120" w:line="276" w:lineRule="auto"/>
        <w:jc w:val="both"/>
      </w:pPr>
      <w:r>
        <w:rPr>
          <w:rFonts w:ascii="Times New Roman" w:cs="Times New Roman" w:eastAsia="Times New Roman" w:hAnsi="Times New Roman"/>
          <w:b/>
          <w:bCs/>
          <w:sz w:val="24"/>
          <w:szCs w:val="24"/>
        </w:rPr>
        <w:t xml:space="preserve">1.03 Resident Agent and Registered Office</w:t>
      </w:r>
    </w:p>
    <w:p>
      <w:pPr>
        <w:spacing w:after="60" w:before="0" w:line="276" w:lineRule="auto"/>
        <w:jc w:val="both"/>
      </w:pPr>
      <w:r>
        <w:rPr>
          <w:rFonts w:ascii="Times New Roman" w:cs="Times New Roman" w:eastAsia="Times New Roman" w:hAnsi="Times New Roman"/>
          <w:sz w:val="24"/>
          <w:szCs w:val="24"/>
        </w:rPr>
        <w:t xml:space="preserve">Kansas uses the terms 'resident agent' (K.S.A. 17-7925) and 'registered office' (K.S.A. 17-7924). The registered office must have a physical Kansas street address; a P.O. box alone is not sufficient.</w:t>
      </w:r>
    </w:p>
    <w:p>
      <w:pPr>
        <w:spacing w:after="40" w:before="0" w:line="276" w:lineRule="auto"/>
      </w:pPr>
      <w:r>
        <w:rPr>
          <w:rFonts w:ascii="Times New Roman" w:cs="Times New Roman" w:eastAsia="Times New Roman" w:hAnsi="Times New Roman"/>
          <w:sz w:val="24"/>
          <w:szCs w:val="24"/>
        </w:rPr>
        <w:t xml:space="preserve">Resident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Kansas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the Kansas Revised Limited Liability Company Act and all other applicable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K.S.A. 17-76,116.</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the Kansas Revised Limited Liability Company Act.</w:t>
      </w:r>
    </w:p>
    <w:p>
      <w:pPr>
        <w:spacing w:after="60" w:before="120" w:line="276" w:lineRule="auto"/>
        <w:jc w:val="both"/>
      </w:pPr>
      <w:r>
        <w:rPr>
          <w:rFonts w:ascii="Times New Roman" w:cs="Times New Roman" w:eastAsia="Times New Roman" w:hAnsi="Times New Roman"/>
          <w:b/>
          <w:bCs/>
          <w:sz w:val="24"/>
          <w:szCs w:val="24"/>
        </w:rPr>
        <w:t xml:space="preserve">2.03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20" w:line="276" w:lineRule="auto"/>
        <w:jc w:val="both"/>
      </w:pPr>
      <w:r>
        <w:rPr>
          <w:rFonts w:ascii="Times New Roman" w:cs="Times New Roman" w:eastAsia="Times New Roman" w:hAnsi="Times New Roman"/>
          <w:b/>
          <w:bCs/>
          <w:sz w:val="24"/>
          <w:szCs w:val="24"/>
        </w:rPr>
        <w:t xml:space="preserve">2.04 Resignation Lock — K.S.A. 17-76,106</w:t>
      </w:r>
    </w:p>
    <w:p>
      <w:pPr>
        <w:spacing w:after="60" w:before="0" w:line="276" w:lineRule="auto"/>
        <w:jc w:val="both"/>
      </w:pPr>
      <w:r>
        <w:rPr>
          <w:rFonts w:ascii="Times New Roman" w:cs="Times New Roman" w:eastAsia="Times New Roman" w:hAnsi="Times New Roman"/>
          <w:sz w:val="24"/>
          <w:szCs w:val="24"/>
        </w:rPr>
        <w:t xml:space="preserve">IMPORTANT: Under K.S.A. 17-76,106 (applicable to LLCs formed after June 30, 2014), a Member may NOT resign before dissolution and winding up unless this Agreement expressly permits it. See Article IX for resignation procedures.</w:t>
      </w:r>
    </w:p>
    <w:p>
      <w:pPr>
        <w:spacing w:after="60" w:before="120" w:line="276" w:lineRule="auto"/>
        <w:jc w:val="both"/>
      </w:pPr>
      <w:r>
        <w:rPr>
          <w:rFonts w:ascii="Times New Roman" w:cs="Times New Roman" w:eastAsia="Times New Roman" w:hAnsi="Times New Roman"/>
          <w:b/>
          <w:bCs/>
          <w:sz w:val="24"/>
          <w:szCs w:val="24"/>
        </w:rPr>
        <w:t xml:space="preserve">2.05 Other Business Activities</w:t>
      </w:r>
    </w:p>
    <w:p>
      <w:pPr>
        <w:spacing w:after="60" w:before="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and Exhibit 1. Under K.S.A. 17-76,101, Kansas defaults allocate profits and losses by the agreed value of contributions shown in LLC records — not by an equal per-capita split.</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All Members' unanimous consent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consent:</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Adjust membership interest proportionally;</w:t>
      </w:r>
    </w:p>
    <w:p>
      <w:pPr>
        <w:spacing w:after="60" w:before="0" w:line="276" w:lineRule="auto"/>
        <w:ind w:left="360"/>
        <w:jc w:val="both"/>
      </w:pPr>
      <w:r>
        <w:rPr>
          <w:rFonts w:ascii="Times New Roman" w:cs="Times New Roman" w:eastAsia="Times New Roman" w:hAnsi="Times New Roman"/>
          <w:sz w:val="24"/>
          <w:szCs w:val="24"/>
        </w:rPr>
        <w:t xml:space="preserve">(c)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Each Member's capital account reflects their agreed-value contributions, adjusted for profits, losses, and distributions, consistent with K.S.A. 17-76,101 and K.S.A. 17-76,102.</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Override of K.S.A. 17-76,101 Agreed-Value Default</w:t>
      </w:r>
    </w:p>
    <w:p>
      <w:pPr>
        <w:spacing w:after="60" w:before="0" w:line="276" w:lineRule="auto"/>
        <w:jc w:val="both"/>
      </w:pPr>
      <w:r>
        <w:rPr>
          <w:rFonts w:ascii="Times New Roman" w:cs="Times New Roman" w:eastAsia="Times New Roman" w:hAnsi="Times New Roman"/>
          <w:sz w:val="24"/>
          <w:szCs w:val="24"/>
        </w:rPr>
        <w:t xml:space="preserve">Kansas defaults under K.S.A. 17-76,101 allocate profits and losses by the agreed value of each member's contributions shown in LLC records. This Agreement overrides that default: profits, losses, income, gain, deduction, and credit are allocated per each Member's PERCENTAGE INTEREST as listed in Section 2.01.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Kansas defaults under K.S.A. 17-76,102 use the same agreed-value contribution formula for distributions. This Agreement overrides that default and ties distributions to each Member's percentage interest. Distributions shall not render the Company unable to pay its debts as they come due.</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federal and state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4.04 Tax Classification — K.S.A. 17-76,138</w:t>
      </w:r>
    </w:p>
    <w:p>
      <w:pPr>
        <w:spacing w:after="60" w:before="0" w:line="276" w:lineRule="auto"/>
        <w:jc w:val="both"/>
      </w:pPr>
      <w:r>
        <w:rPr>
          <w:rFonts w:ascii="Times New Roman" w:cs="Times New Roman" w:eastAsia="Times New Roman" w:hAnsi="Times New Roman"/>
          <w:sz w:val="24"/>
          <w:szCs w:val="24"/>
        </w:rPr>
        <w:t xml:space="preserve">Kansas uses the federal tax classification under K.S.A. 17-76,138. The Company shall be treated as a partnership for federal income tax purposes unless the Members elect otherwise:</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Kansas Form K-120EL)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4.08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4.09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individual Members' names.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Management by Members — K.S.A. 17-7693</w:t>
      </w:r>
    </w:p>
    <w:p>
      <w:pPr>
        <w:spacing w:after="60" w:before="0" w:line="276" w:lineRule="auto"/>
        <w:jc w:val="both"/>
      </w:pPr>
      <w:r>
        <w:rPr>
          <w:rFonts w:ascii="Times New Roman" w:cs="Times New Roman" w:eastAsia="Times New Roman" w:hAnsi="Times New Roman"/>
          <w:sz w:val="24"/>
          <w:szCs w:val="24"/>
        </w:rPr>
        <w:t xml:space="preserve">Pursuant to K.S.A. 17-7693, this Company is member-managed. Under K.S.A. 17-7693, management authority tracks each member's then-current profits interest, and members owning more than 50% of profits interest control by default. IMPORTANT: the Kansas Articles of Organization (Form DL) do not publicly record the management election; this election lives entirely inside this Operating Agreement.</w:t>
      </w:r>
    </w:p>
    <w:p>
      <w:pPr>
        <w:spacing w:after="60" w:before="120" w:line="276" w:lineRule="auto"/>
        <w:jc w:val="both"/>
      </w:pPr>
      <w:r>
        <w:rPr>
          <w:rFonts w:ascii="Times New Roman" w:cs="Times New Roman" w:eastAsia="Times New Roman" w:hAnsi="Times New Roman"/>
          <w:b/>
          <w:bCs/>
          <w:sz w:val="24"/>
          <w:szCs w:val="24"/>
        </w:rPr>
        <w:t xml:space="preserve">5.02 Voting — K.S.A. 17-7687</w:t>
      </w:r>
    </w:p>
    <w:p>
      <w:pPr>
        <w:spacing w:after="60" w:before="0" w:line="276" w:lineRule="auto"/>
        <w:jc w:val="both"/>
      </w:pPr>
      <w:r>
        <w:rPr>
          <w:rFonts w:ascii="Times New Roman" w:cs="Times New Roman" w:eastAsia="Times New Roman" w:hAnsi="Times New Roman"/>
          <w:sz w:val="24"/>
          <w:szCs w:val="24"/>
        </w:rPr>
        <w:t xml:space="preserve">Kansas offers broad flexibility under K.S.A. 17-7687. Voting may be per-capita, by financial interest, by class, by group, or on any other basis. This Agreement specifies: routine business decisions require majority by percentage interest (exceeding 50%). Custom voting classes or non-voting interests may be added by written amendment.</w:t>
      </w:r>
    </w:p>
    <w:p>
      <w:pPr>
        <w:spacing w:after="60" w:before="120" w:line="276" w:lineRule="auto"/>
        <w:jc w:val="both"/>
      </w:pPr>
      <w:r>
        <w:rPr>
          <w:rFonts w:ascii="Times New Roman" w:cs="Times New Roman" w:eastAsia="Times New Roman" w:hAnsi="Times New Roman"/>
          <w:b/>
          <w:bCs/>
          <w:sz w:val="24"/>
          <w:szCs w:val="24"/>
        </w:rPr>
        <w:t xml:space="preserve">5.03 Actions Requiring All Members' Consent</w:t>
      </w:r>
    </w:p>
    <w:p>
      <w:pPr>
        <w:spacing w:after="60" w:before="0" w:line="276" w:lineRule="auto"/>
        <w:jc w:val="both"/>
      </w:pPr>
      <w:r>
        <w:rPr>
          <w:rFonts w:ascii="Times New Roman" w:cs="Times New Roman" w:eastAsia="Times New Roman" w:hAnsi="Times New Roman"/>
          <w:sz w:val="24"/>
          <w:szCs w:val="24"/>
        </w:rPr>
        <w:t xml:space="preserve">The following require ALL Members' written consent:</w:t>
      </w:r>
    </w:p>
    <w:p>
      <w:pPr>
        <w:spacing w:after="30" w:before="0" w:line="276" w:lineRule="auto"/>
        <w:ind w:left="360"/>
      </w:pPr>
      <w:r>
        <w:rPr>
          <w:rFonts w:ascii="Times New Roman" w:cs="Times New Roman" w:eastAsia="Times New Roman" w:hAnsi="Times New Roman"/>
          <w:sz w:val="24"/>
          <w:szCs w:val="24"/>
        </w:rPr>
        <w:t xml:space="preserve">□  Amending this Operating Agreement (K.S.A. 17-7687)</w:t>
      </w:r>
    </w:p>
    <w:p>
      <w:pPr>
        <w:spacing w:after="30" w:before="0" w:line="276" w:lineRule="auto"/>
        <w:ind w:left="360"/>
      </w:pPr>
      <w:r>
        <w:rPr>
          <w:rFonts w:ascii="Times New Roman" w:cs="Times New Roman" w:eastAsia="Times New Roman" w:hAnsi="Times New Roman"/>
          <w:sz w:val="24"/>
          <w:szCs w:val="24"/>
        </w:rPr>
        <w:t xml:space="preserve">□  Admitting a new Member (K.S.A. 17-7686)</w:t>
      </w:r>
    </w:p>
    <w:p>
      <w:pPr>
        <w:spacing w:after="30" w:before="0" w:line="276" w:lineRule="auto"/>
        <w:ind w:left="360"/>
      </w:pPr>
      <w:r>
        <w:rPr>
          <w:rFonts w:ascii="Times New Roman" w:cs="Times New Roman" w:eastAsia="Times New Roman" w:hAnsi="Times New Roman"/>
          <w:sz w:val="24"/>
          <w:szCs w:val="24"/>
        </w:rPr>
        <w:t xml:space="preserve">□  Approving any assignee as a full member (K.S.A. 17-76,114)</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Dissolution of the Company (unless two-thirds default applies below)</w:t>
      </w:r>
    </w:p>
    <w:p>
      <w:pPr>
        <w:spacing w:after="30" w:before="0" w:line="276" w:lineRule="auto"/>
        <w:ind w:left="360"/>
      </w:pPr>
      <w:r>
        <w:rPr>
          <w:rFonts w:ascii="Times New Roman" w:cs="Times New Roman" w:eastAsia="Times New Roman" w:hAnsi="Times New Roman"/>
          <w:sz w:val="24"/>
          <w:szCs w:val="24"/>
        </w:rPr>
        <w:t xml:space="preserve">□  Sale or disposition of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40" w:before="0" w:line="276" w:lineRule="auto"/>
      </w:pPr>
      <w:r>
        <w:rPr>
          <w:rFonts w:ascii="Times New Roman" w:cs="Times New Roman" w:eastAsia="Times New Roman" w:hAnsi="Times New Roman"/>
          <w:sz w:val="24"/>
          <w:szCs w:val="24"/>
        </w:rPr>
        <w:t xml:space="preserve">Other unanimous consent items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Two-Thirds Dissolution Override</w:t>
      </w:r>
    </w:p>
    <w:p>
      <w:pPr>
        <w:spacing w:after="60" w:before="0" w:line="276" w:lineRule="auto"/>
        <w:jc w:val="both"/>
      </w:pPr>
      <w:r>
        <w:rPr>
          <w:rFonts w:ascii="Times New Roman" w:cs="Times New Roman" w:eastAsia="Times New Roman" w:hAnsi="Times New Roman"/>
          <w:sz w:val="24"/>
          <w:szCs w:val="24"/>
        </w:rPr>
        <w:t xml:space="preserve">Kansas default under K.S.A. 17-76,116: members owning two-thirds or more of the current profits interest can dissolve the LLC. This Agreement:</w:t>
      </w:r>
    </w:p>
    <w:p>
      <w:pPr>
        <w:spacing w:after="40" w:before="0" w:line="276" w:lineRule="auto"/>
      </w:pPr>
      <w:r>
        <w:rPr>
          <w:rFonts w:ascii="Times New Roman" w:cs="Times New Roman" w:eastAsia="Times New Roman" w:hAnsi="Times New Roman"/>
          <w:sz w:val="24"/>
          <w:szCs w:val="24"/>
        </w:rPr>
        <w:t xml:space="preserve">□  Retains the two-thirds default (K.S.A. 17-76,116)     </w:t>
      </w:r>
      <w:r>
        <w:rPr>
          <w:rFonts w:ascii="Times New Roman" w:cs="Times New Roman" w:eastAsia="Times New Roman" w:hAnsi="Times New Roman"/>
          <w:sz w:val="24"/>
          <w:szCs w:val="24"/>
        </w:rPr>
        <w:t xml:space="preserve">□  Requires unanimous consent to dissolve (see Art. X)     </w:t>
      </w:r>
    </w:p>
    <w:p>
      <w:pPr>
        <w:spacing w:after="60" w:before="120" w:line="276" w:lineRule="auto"/>
        <w:jc w:val="both"/>
      </w:pPr>
      <w:r>
        <w:rPr>
          <w:rFonts w:ascii="Times New Roman" w:cs="Times New Roman" w:eastAsia="Times New Roman" w:hAnsi="Times New Roman"/>
          <w:b/>
          <w:bCs/>
          <w:sz w:val="24"/>
          <w:szCs w:val="24"/>
        </w:rPr>
        <w:t xml:space="preserve">5.05 Deadlock Prevention</w:t>
      </w:r>
    </w:p>
    <w:p>
      <w:pPr>
        <w:spacing w:after="60" w:before="0" w:line="276" w:lineRule="auto"/>
        <w:jc w:val="both"/>
      </w:pPr>
      <w:r>
        <w:rPr>
          <w:rFonts w:ascii="Times New Roman" w:cs="Times New Roman" w:eastAsia="Times New Roman" w:hAnsi="Times New Roman"/>
          <w:sz w:val="24"/>
          <w:szCs w:val="24"/>
        </w:rPr>
        <w:t xml:space="preserve">If Members holding equal profits interests deadlock, Kansas provides no statutory tiebreaker. Members shall submit deadlocked disputes to mediation before seeking judicial dissolution under K.S.A. 17-76,117.</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5.06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profits interest.</w:t>
      </w:r>
    </w:p>
    <w:p>
      <w:pPr>
        <w:spacing w:after="60" w:before="0" w:line="276" w:lineRule="auto"/>
        <w:jc w:val="both"/>
      </w:pPr>
      <w:r>
        <w:rPr>
          <w:rFonts w:ascii="Times New Roman" w:cs="Times New Roman" w:eastAsia="Times New Roman" w:hAnsi="Times New Roman"/>
          <w:sz w:val="24"/>
          <w:szCs w:val="24"/>
        </w:rPr>
        <w:t xml:space="preserve">Meeting frequency:</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of all meetings shall be kept in Company records.</w:t>
      </w:r>
    </w:p>
    <w:p>
      <w:pPr>
        <w:spacing w:after="60" w:before="120" w:line="276" w:lineRule="auto"/>
        <w:jc w:val="both"/>
      </w:pPr>
      <w:r>
        <w:rPr>
          <w:rFonts w:ascii="Times New Roman" w:cs="Times New Roman" w:eastAsia="Times New Roman" w:hAnsi="Times New Roman"/>
          <w:b/>
          <w:bCs/>
          <w:sz w:val="24"/>
          <w:szCs w:val="24"/>
        </w:rPr>
        <w:t xml:space="preserve">5.07 Officers (Optional) — K.S.A. 17-7693</w:t>
      </w:r>
    </w:p>
    <w:p>
      <w:pPr>
        <w:spacing w:after="60" w:before="0" w:line="276" w:lineRule="auto"/>
        <w:jc w:val="both"/>
      </w:pPr>
      <w:r>
        <w:rPr>
          <w:rFonts w:ascii="Times New Roman" w:cs="Times New Roman" w:eastAsia="Times New Roman" w:hAnsi="Times New Roman"/>
          <w:sz w:val="24"/>
          <w:szCs w:val="24"/>
        </w:rPr>
        <w:t xml:space="preserve">Under K.S.A. 17-7693, each officer's responsibilities are as provided in this Operating Agreement:</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20" w:line="276" w:lineRule="auto"/>
        <w:jc w:val="both"/>
      </w:pPr>
      <w:r>
        <w:rPr>
          <w:rFonts w:ascii="Times New Roman" w:cs="Times New Roman" w:eastAsia="Times New Roman" w:hAnsi="Times New Roman"/>
          <w:b/>
          <w:bCs/>
          <w:sz w:val="24"/>
          <w:szCs w:val="24"/>
        </w:rPr>
        <w:t xml:space="preserve">5.08 Fiduciary Duties — K.S.A. 17-76,134</w:t>
      </w:r>
    </w:p>
    <w:p>
      <w:pPr>
        <w:spacing w:after="60" w:before="0" w:line="276" w:lineRule="auto"/>
        <w:jc w:val="both"/>
      </w:pPr>
      <w:r>
        <w:rPr>
          <w:rFonts w:ascii="Times New Roman" w:cs="Times New Roman" w:eastAsia="Times New Roman" w:hAnsi="Times New Roman"/>
          <w:sz w:val="24"/>
          <w:szCs w:val="24"/>
        </w:rPr>
        <w:t xml:space="preserve">Kansas gives maximum effect to freedom of contract under K.S.A. 17-76,134, allowing this Agreement to expand, restrict, or eliminate fiduciary duties. Hard limit: cannot eliminate the implied covenant of good faith and fair dealing (Davis v. Winning Streak Sports, LLC, Kan. Ct. App. 2013). Duty of loyalty and duty of care apply to all Members in a member-managed LLC unless this Agreement modifies them.</w:t>
      </w:r>
    </w:p>
    <w:p>
      <w:pPr>
        <w:spacing w:after="40" w:before="0" w:line="276" w:lineRule="auto"/>
      </w:pPr>
      <w:r>
        <w:rPr>
          <w:rFonts w:ascii="Times New Roman" w:cs="Times New Roman" w:eastAsia="Times New Roman" w:hAnsi="Times New Roman"/>
          <w:sz w:val="24"/>
          <w:szCs w:val="24"/>
        </w:rPr>
        <w:t xml:space="preserve">□  Duty of loyalty confirmed — no modification     </w:t>
      </w:r>
      <w:r>
        <w:rPr>
          <w:rFonts w:ascii="Times New Roman" w:cs="Times New Roman" w:eastAsia="Times New Roman" w:hAnsi="Times New Roman"/>
          <w:sz w:val="24"/>
          <w:szCs w:val="24"/>
        </w:rPr>
        <w:t xml:space="preserve">□  Duty of loyalty restricted as specified below:     </w:t>
      </w:r>
    </w:p>
    <w:p>
      <w:pPr>
        <w:spacing w:after="40" w:before="0" w:line="276" w:lineRule="auto"/>
      </w:pPr>
      <w:r>
        <w:rPr>
          <w:rFonts w:ascii="Times New Roman" w:cs="Times New Roman" w:eastAsia="Times New Roman" w:hAnsi="Times New Roman"/>
          <w:sz w:val="24"/>
          <w:szCs w:val="24"/>
        </w:rPr>
        <w:t xml:space="preserve">Duty of loyalty restriction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pursuant to the Kansas Revised Limited Liability Company Act.</w:t>
      </w:r>
    </w:p>
    <w:p>
      <w:pPr>
        <w:spacing w:after="60" w:before="120" w:line="276" w:lineRule="auto"/>
        <w:jc w:val="both"/>
      </w:pPr>
      <w:r>
        <w:rPr>
          <w:rFonts w:ascii="Times New Roman" w:cs="Times New Roman" w:eastAsia="Times New Roman" w:hAnsi="Times New Roman"/>
          <w:b/>
          <w:bCs/>
          <w:sz w:val="24"/>
          <w:szCs w:val="24"/>
        </w:rPr>
        <w:t xml:space="preserve">6.02 Charging Order — K.S.A. 17-76,113</w:t>
      </w:r>
    </w:p>
    <w:p>
      <w:pPr>
        <w:spacing w:after="60" w:before="0" w:line="276" w:lineRule="auto"/>
        <w:jc w:val="both"/>
      </w:pPr>
      <w:r>
        <w:rPr>
          <w:rFonts w:ascii="Times New Roman" w:cs="Times New Roman" w:eastAsia="Times New Roman" w:hAnsi="Times New Roman"/>
          <w:sz w:val="24"/>
          <w:szCs w:val="24"/>
        </w:rPr>
        <w:t xml:space="preserve">Per K.S.A. 17-76,113, a charging order is the EXCLUSIVE remedy for a judgment creditor of any member's interest, whether the LLC has one or more members (Meyer v. Christie, D. Kan.).</w:t>
      </w:r>
    </w:p>
    <w:p>
      <w:pPr>
        <w:spacing w:after="60" w:before="120" w:line="276" w:lineRule="auto"/>
        <w:jc w:val="both"/>
      </w:pPr>
      <w:r>
        <w:rPr>
          <w:rFonts w:ascii="Times New Roman" w:cs="Times New Roman" w:eastAsia="Times New Roman" w:hAnsi="Times New Roman"/>
          <w:b/>
          <w:bCs/>
          <w:sz w:val="24"/>
          <w:szCs w:val="24"/>
        </w:rPr>
        <w:t xml:space="preserve">6.03 Indemnification — K.S.A. 17-7670</w:t>
      </w:r>
    </w:p>
    <w:p>
      <w:pPr>
        <w:spacing w:after="60" w:before="0" w:line="276" w:lineRule="auto"/>
        <w:jc w:val="both"/>
      </w:pPr>
      <w:r>
        <w:rPr>
          <w:rFonts w:ascii="Times New Roman" w:cs="Times New Roman" w:eastAsia="Times New Roman" w:hAnsi="Times New Roman"/>
          <w:sz w:val="24"/>
          <w:szCs w:val="24"/>
        </w:rPr>
        <w:t xml:space="preserve">Under K.S.A. 17-7670 (as clarified by 2025 HB 2371 / Chapter 95), the Company shall indemnify Members, officers, agents, and employees for judgments, settlements, penalties, fines, and legal expenses arising from their roles, except for bad-faith violations of the implied covenant of good faith and fair dealing.</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(Form DL); this Agreement and all amendments; federal and state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Business Entity Information Report — K.S.A. 17-76,139</w:t>
      </w:r>
    </w:p>
    <w:p>
      <w:pPr>
        <w:spacing w:after="60" w:before="0" w:line="276" w:lineRule="auto"/>
        <w:jc w:val="both"/>
      </w:pPr>
      <w:r>
        <w:rPr>
          <w:rFonts w:ascii="Times New Roman" w:cs="Times New Roman" w:eastAsia="Times New Roman" w:hAnsi="Times New Roman"/>
          <w:sz w:val="24"/>
          <w:szCs w:val="24"/>
        </w:rPr>
        <w:t xml:space="preserve">The Company shall file a Business Entity Information Report (Form ILC) biennially by April 15 of the applicable year. Online fee: $90; paper: $110. Kansas switched to biennial filing effective January 1, 2024. A three-month grace period applies before forfeiture; after forfeiture, reinstatement fees apply and many other filings are blocked.</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 — Resignation Lock</w:t>
      </w:r>
    </w:p>
    <w:p>
      <w:pPr>
        <w:spacing w:after="60" w:before="0" w:line="276" w:lineRule="auto"/>
        <w:jc w:val="both"/>
      </w:pPr>
      <w:r>
        <w:rPr>
          <w:rFonts w:ascii="Times New Roman" w:cs="Times New Roman" w:eastAsia="Times New Roman" w:hAnsi="Times New Roman"/>
          <w:sz w:val="24"/>
          <w:szCs w:val="24"/>
        </w:rPr>
        <w:t xml:space="preserve">IMPORTANT: Under K.S.A. 17-76,106 (applicable to LLCs formed after June 30, 2014), a Member may NOT resign before dissolution and winding up unless this Agreement expressly provides otherwise. A Member may resign only at the time or upon events specified below:</w:t>
      </w:r>
    </w:p>
    <w:p>
      <w:pPr>
        <w:spacing w:after="40" w:before="0" w:line="276" w:lineRule="auto"/>
      </w:pPr>
      <w:r>
        <w:rPr>
          <w:rFonts w:ascii="Times New Roman" w:cs="Times New Roman" w:eastAsia="Times New Roman" w:hAnsi="Times New Roman"/>
          <w:sz w:val="24"/>
          <w:szCs w:val="24"/>
        </w:rPr>
        <w:t xml:space="preserve">Permitted resignation event(s):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of Economic Interest</w:t>
      </w:r>
    </w:p>
    <w:p>
      <w:pPr>
        <w:spacing w:after="60" w:before="0" w:line="276" w:lineRule="auto"/>
        <w:jc w:val="both"/>
      </w:pPr>
      <w:r>
        <w:rPr>
          <w:rFonts w:ascii="Times New Roman" w:cs="Times New Roman" w:eastAsia="Times New Roman" w:hAnsi="Times New Roman"/>
          <w:sz w:val="24"/>
          <w:szCs w:val="24"/>
        </w:rPr>
        <w:t xml:space="preserve">A Member may transfer their economic interest (the right to receive distributions) without other Members' approval. The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9.03 Assignee Admission — K.S.A. 17-76,114</w:t>
      </w:r>
    </w:p>
    <w:p>
      <w:pPr>
        <w:spacing w:after="60" w:before="0" w:line="276" w:lineRule="auto"/>
        <w:jc w:val="both"/>
      </w:pPr>
      <w:r>
        <w:rPr>
          <w:rFonts w:ascii="Times New Roman" w:cs="Times New Roman" w:eastAsia="Times New Roman" w:hAnsi="Times New Roman"/>
          <w:sz w:val="24"/>
          <w:szCs w:val="24"/>
        </w:rPr>
        <w:t xml:space="preserve">Under K.S.A. 17-76,114, an assignee becomes a full member only with ALL non-transferring Members' consent, unless this Agreement provides otherwise.</w:t>
      </w:r>
    </w:p>
    <w:p>
      <w:pPr>
        <w:spacing w:after="40" w:before="0" w:line="276" w:lineRule="auto"/>
      </w:pPr>
      <w:r>
        <w:rPr>
          <w:rFonts w:ascii="Times New Roman" w:cs="Times New Roman" w:eastAsia="Times New Roman" w:hAnsi="Times New Roman"/>
          <w:sz w:val="24"/>
          <w:szCs w:val="24"/>
        </w:rPr>
        <w:t xml:space="preserve">□  Consent of all non-transferring Members required (default)     </w:t>
      </w:r>
      <w:r>
        <w:rPr>
          <w:rFonts w:ascii="Times New Roman" w:cs="Times New Roman" w:eastAsia="Times New Roman" w:hAnsi="Times New Roman"/>
          <w:sz w:val="24"/>
          <w:szCs w:val="24"/>
        </w:rPr>
        <w:t xml:space="preserve">□  Consent of majority by profits interest sufficient     </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Agreed value of contributions (K.S.A. 17-76,101 default)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9.05 Charging Order — K.S.A. 17-76,113</w:t>
      </w:r>
    </w:p>
    <w:p>
      <w:pPr>
        <w:spacing w:after="60" w:before="0" w:line="276" w:lineRule="auto"/>
        <w:jc w:val="both"/>
      </w:pPr>
      <w:r>
        <w:rPr>
          <w:rFonts w:ascii="Times New Roman" w:cs="Times New Roman" w:eastAsia="Times New Roman" w:hAnsi="Times New Roman"/>
          <w:sz w:val="24"/>
          <w:szCs w:val="24"/>
        </w:rPr>
        <w:t xml:space="preserve">Per K.S.A. 17-76,113, a charging order is the EXCLUSIVE remedy for a judgment creditor of any member's interest, whether the LLC has one or more members (Meyer v. Christie, D. Kan.). A creditor with a charging order has only the rights of an assignee of the member's distributional interest.</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Voluntary Dissolution — Two-Thirds Default</w:t>
      </w:r>
    </w:p>
    <w:p>
      <w:pPr>
        <w:spacing w:after="60" w:before="0" w:line="276" w:lineRule="auto"/>
        <w:jc w:val="both"/>
      </w:pPr>
      <w:r>
        <w:rPr>
          <w:rFonts w:ascii="Times New Roman" w:cs="Times New Roman" w:eastAsia="Times New Roman" w:hAnsi="Times New Roman"/>
          <w:sz w:val="24"/>
          <w:szCs w:val="24"/>
        </w:rPr>
        <w:t xml:space="preserve">IMPORTANT: Under K.S.A. 17-76,116, members owning two-thirds or more of the then-current profits interest can vote to dissolve the LLC by default — even over objection of other members. This Agreement overrides that default as follows. Dissolution requires:</w:t>
      </w:r>
    </w:p>
    <w:p>
      <w:pPr>
        <w:spacing w:after="40" w:before="0" w:line="276" w:lineRule="auto"/>
      </w:pPr>
      <w:r>
        <w:rPr>
          <w:rFonts w:ascii="Times New Roman" w:cs="Times New Roman" w:eastAsia="Times New Roman" w:hAnsi="Times New Roman"/>
          <w:sz w:val="24"/>
          <w:szCs w:val="24"/>
        </w:rPr>
        <w:t xml:space="preserve">□  Two-thirds of profits interest (K.S.A. default)     </w:t>
      </w: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Unanimous consent of all Members     </w:t>
      </w:r>
    </w:p>
    <w:p>
      <w:pPr>
        <w:spacing w:after="60" w:before="120" w:line="276" w:lineRule="auto"/>
        <w:jc w:val="both"/>
      </w:pPr>
      <w:r>
        <w:rPr>
          <w:rFonts w:ascii="Times New Roman" w:cs="Times New Roman" w:eastAsia="Times New Roman" w:hAnsi="Times New Roman"/>
          <w:b/>
          <w:bCs/>
          <w:sz w:val="24"/>
          <w:szCs w:val="24"/>
        </w:rPr>
        <w:t xml:space="preserve">10.02 Judicial and Involuntary Dissolution — K.S.A. 17-76,117</w:t>
      </w:r>
    </w:p>
    <w:p>
      <w:pPr>
        <w:spacing w:after="60" w:before="0" w:line="276" w:lineRule="auto"/>
        <w:jc w:val="both"/>
      </w:pPr>
      <w:r>
        <w:rPr>
          <w:rFonts w:ascii="Times New Roman" w:cs="Times New Roman" w:eastAsia="Times New Roman" w:hAnsi="Times New Roman"/>
          <w:sz w:val="24"/>
          <w:szCs w:val="24"/>
        </w:rPr>
        <w:t xml:space="preserve">Under K.S.A. 17-76,117, Kansas district courts have authority to dissolve the LLC on petition by members holding at least 25% of the outstanding interests in capital or profits and losses, or by the Kansas Attorney General, when the LLC's purpose has been frustrated. This right cannot be eliminated by this Agreement.</w:t>
      </w:r>
    </w:p>
    <w:p>
      <w:pPr>
        <w:spacing w:after="60" w:before="120" w:line="276" w:lineRule="auto"/>
        <w:jc w:val="both"/>
      </w:pPr>
      <w:r>
        <w:rPr>
          <w:rFonts w:ascii="Times New Roman" w:cs="Times New Roman" w:eastAsia="Times New Roman" w:hAnsi="Times New Roman"/>
          <w:b/>
          <w:bCs/>
          <w:sz w:val="24"/>
          <w:szCs w:val="24"/>
        </w:rPr>
        <w:t xml:space="preserve">10.03 Additional Dissolution Triggers</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forfeiture by the Kansas Secretary of State for failure to file the Business Entity Information Report; or</w:t>
      </w:r>
    </w:p>
    <w:p>
      <w:pPr>
        <w:spacing w:after="60" w:before="0" w:line="276" w:lineRule="auto"/>
        <w:ind w:left="360"/>
        <w:jc w:val="both"/>
      </w:pPr>
      <w:r>
        <w:rPr>
          <w:rFonts w:ascii="Times New Roman" w:cs="Times New Roman" w:eastAsia="Times New Roman" w:hAnsi="Times New Roman"/>
          <w:sz w:val="24"/>
          <w:szCs w:val="24"/>
        </w:rPr>
        <w:t xml:space="preserve">(c)  Any other event specified in this Agreement or the Articles of Organization.</w:t>
      </w:r>
    </w:p>
    <w:p>
      <w:pPr>
        <w:spacing w:after="60" w:before="120" w:line="276" w:lineRule="auto"/>
        <w:jc w:val="both"/>
      </w:pPr>
      <w:r>
        <w:rPr>
          <w:rFonts w:ascii="Times New Roman" w:cs="Times New Roman" w:eastAsia="Times New Roman" w:hAnsi="Times New Roman"/>
          <w:b/>
          <w:bCs/>
          <w:sz w:val="24"/>
          <w:szCs w:val="24"/>
        </w:rPr>
        <w:t xml:space="preserve">10.04 Continuation Vote</w:t>
      </w:r>
    </w:p>
    <w:p>
      <w:pPr>
        <w:spacing w:after="60" w:before="0" w:line="276" w:lineRule="auto"/>
        <w:jc w:val="both"/>
      </w:pPr>
      <w:r>
        <w:rPr>
          <w:rFonts w:ascii="Times New Roman" w:cs="Times New Roman" w:eastAsia="Times New Roman" w:hAnsi="Times New Roman"/>
          <w:sz w:val="24"/>
          <w:szCs w:val="24"/>
        </w:rPr>
        <w:t xml:space="preserve">Upon any Member's departure, remaining Members may vote within _____ days to continue the Company.</w:t>
      </w:r>
    </w:p>
    <w:p>
      <w:pPr>
        <w:spacing w:after="40" w:before="0" w:line="276" w:lineRule="auto"/>
      </w:pPr>
      <w:r>
        <w:rPr>
          <w:rFonts w:ascii="Times New Roman" w:cs="Times New Roman" w:eastAsia="Times New Roman" w:hAnsi="Times New Roman"/>
          <w:sz w:val="24"/>
          <w:szCs w:val="24"/>
        </w:rPr>
        <w:t xml:space="preserve">Days for remaining Members to vote to continue: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10.05 Winding Up</w:t>
      </w:r>
    </w:p>
    <w:p>
      <w:pPr>
        <w:spacing w:after="40" w:before="0" w:line="276" w:lineRule="auto"/>
      </w:pPr>
      <w:r>
        <w:rPr>
          <w:rFonts w:ascii="Times New Roman" w:cs="Times New Roman" w:eastAsia="Times New Roman" w:hAnsi="Times New Roman"/>
          <w:sz w:val="24"/>
          <w:szCs w:val="24"/>
        </w:rPr>
        <w:t xml:space="preserve">Liquidator (or as designated by majority profits interest):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by agreed-value contributions;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Under K.S.A. 17-7672, Kansas district courts have jurisdiction to interpret, apply, or enforce this Agreement.</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 and Dispute Resolution</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Kansas, including the Kansas Revised Limited Liability Company Act (K.S.A. 17-76 et seq.), as amended by 2025 HB 2371 / Chapter 95. Under K.S.A. 17-7672, any action to interpret, apply, or enforce this Agreement may be brought in a Kansas district court.</w:t>
      </w:r>
    </w:p>
    <w:p>
      <w:pPr>
        <w:spacing w:after="60" w:before="120" w:line="276" w:lineRule="auto"/>
        <w:jc w:val="both"/>
      </w:pPr>
      <w:r>
        <w:rPr>
          <w:rFonts w:ascii="Times New Roman" w:cs="Times New Roman" w:eastAsia="Times New Roman" w:hAnsi="Times New Roman"/>
          <w:b/>
          <w:bCs/>
          <w:sz w:val="24"/>
          <w:szCs w:val="24"/>
        </w:rPr>
        <w:t xml:space="preserve">11.02 Freedom of Contract — K.S.A. 17-76,134</w:t>
      </w:r>
    </w:p>
    <w:p>
      <w:pPr>
        <w:spacing w:after="60" w:before="0" w:line="276" w:lineRule="auto"/>
        <w:jc w:val="both"/>
      </w:pPr>
      <w:r>
        <w:rPr>
          <w:rFonts w:ascii="Times New Roman" w:cs="Times New Roman" w:eastAsia="Times New Roman" w:hAnsi="Times New Roman"/>
          <w:sz w:val="24"/>
          <w:szCs w:val="24"/>
        </w:rPr>
        <w:t xml:space="preserve">Kansas gives maximum effect to freedom of contract. This Agreement may expand, restrict, or eliminate duties including fiduciary duties. Hard limit: this Agreement cannot eliminate the implied covenant of good faith and fair dealing, and cannot eliminate liability for bad-faith violations of that covenant.</w:t>
      </w:r>
    </w:p>
    <w:p>
      <w:pPr>
        <w:spacing w:after="60" w:before="120" w:line="276" w:lineRule="auto"/>
        <w:jc w:val="both"/>
      </w:pPr>
      <w:r>
        <w:rPr>
          <w:rFonts w:ascii="Times New Roman" w:cs="Times New Roman" w:eastAsia="Times New Roman" w:hAnsi="Times New Roman"/>
          <w:b/>
          <w:bCs/>
          <w:sz w:val="24"/>
          <w:szCs w:val="24"/>
        </w:rPr>
        <w:t xml:space="preserve">11.03 Amendment — K.S.A. 17-7687</w:t>
      </w:r>
    </w:p>
    <w:p>
      <w:pPr>
        <w:spacing w:after="60" w:before="0" w:line="276" w:lineRule="auto"/>
        <w:jc w:val="both"/>
      </w:pPr>
      <w:r>
        <w:rPr>
          <w:rFonts w:ascii="Times New Roman" w:cs="Times New Roman" w:eastAsia="Times New Roman" w:hAnsi="Times New Roman"/>
          <w:sz w:val="24"/>
          <w:szCs w:val="24"/>
        </w:rPr>
        <w:t xml:space="preserve">Written amendment signed by all Members. Under K.S.A. 17-7687, the operating agreement may authorize amendments by member vote, manager action, or without member approval if specified herein.</w:t>
      </w:r>
    </w:p>
    <w:p>
      <w:pPr>
        <w:spacing w:after="60" w:before="120" w:line="276" w:lineRule="auto"/>
        <w:jc w:val="both"/>
      </w:pPr>
      <w:r>
        <w:rPr>
          <w:rFonts w:ascii="Times New Roman" w:cs="Times New Roman" w:eastAsia="Times New Roman" w:hAnsi="Times New Roman"/>
          <w:b/>
          <w:bCs/>
          <w:sz w:val="24"/>
          <w:szCs w:val="24"/>
        </w:rPr>
        <w:t xml:space="preserve">11.04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Kansas.</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DL),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Kansas Secretary of State. No notarization is required. Keep signed copies with Company records.</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of the Company have executed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Kansas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Kansas-specific statute references under the Kansas Revised Limited Liability Company Act (K.S.A. 17-76 et seq.), including 2025 amendments under HB 2371 / Chapter 95.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Kansas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Kansas LLC Resources:</w:t>
      </w:r>
    </w:p>
    <w:p>
      <w:pPr>
        <w:spacing w:after="40" w:before="0" w:line="276" w:lineRule="auto"/>
      </w:pPr>
      <w:hyperlink w:history="1" r:id="rId-bd6ubqmydk7hv7zosl0f">
        <w:r>
          <w:rPr>
            <w:rFonts w:ascii="Times New Roman" w:cs="Times New Roman" w:eastAsia="Times New Roman" w:hAnsi="Times New Roman"/>
            <w:color w:val="0000FF"/>
            <w:sz w:val="24"/>
            <w:szCs w:val="24"/>
            <w:u w:val="single"/>
          </w:rPr>
          <w:t xml:space="preserve">→  https://boostsuite.com/operating-agreement/kansas/</w:t>
        </w:r>
      </w:hyperlink>
    </w:p>
    <w:p>
      <w:pPr>
        <w:spacing w:after="40" w:before="0" w:line="276" w:lineRule="auto"/>
      </w:pPr>
      <w:hyperlink w:history="1" r:id="rIdbpmq0pbv_z9kharqca8eb">
        <w:r>
          <w:rPr>
            <w:rFonts w:ascii="Times New Roman" w:cs="Times New Roman" w:eastAsia="Times New Roman" w:hAnsi="Times New Roman"/>
            <w:color w:val="0000FF"/>
            <w:sz w:val="24"/>
            <w:szCs w:val="24"/>
            <w:u w:val="single"/>
          </w:rPr>
          <w:t xml:space="preserve">→  https://boostsuite.com/how-to-start-an-llc/kansas/</w:t>
        </w:r>
      </w:hyperlink>
    </w:p>
    <w:p>
      <w:pPr>
        <w:spacing w:after="40" w:before="0" w:line="276" w:lineRule="auto"/>
      </w:pPr>
      <w:hyperlink w:history="1" r:id="rIdmxoylkxc9lmmmezbc8oke">
        <w:r>
          <w:rPr>
            <w:rFonts w:ascii="Times New Roman" w:cs="Times New Roman" w:eastAsia="Times New Roman" w:hAnsi="Times New Roman"/>
            <w:color w:val="0000FF"/>
            <w:sz w:val="24"/>
            <w:szCs w:val="24"/>
            <w:u w:val="single"/>
          </w:rPr>
          <w:t xml:space="preserve">→  https://boostsuite.com/how-to-start-an-llc/cost/kansas/</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2026-04-15T03:12:09.677Z</dcterms:created>
  <dcterms:modified xsi:type="dcterms:W3CDTF">2026-04-15T03:12:09.677Z</dcterms:modified>
</cp:coreProperties>
</file>

<file path=docProps/custom.xml><?xml version="1.0" encoding="utf-8"?>
<Properties xmlns="http://schemas.openxmlformats.org/officeDocument/2006/custom-properties" xmlns:vt="http://schemas.openxmlformats.org/officeDocument/2006/docPropsVTypes"/>
</file>