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ILLINOIS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with the Illinois Secretary of State pursuant to 805 ILCS 180, the Illinois Limited Liability Company Act. Under 805 ILCS 180/15-5(a), this Operating Agreement governs the relationships between members, managers, and the Company. This Agreement is not filed with the Illinois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Articles of Organization exactly, including punctuation (e.g., 'LLC' vs. 'L.L.C.').</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 Illinois):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805 ILCS 180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805 ILCS 180/35-1.</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805 ILCS 180.</w:t>
      </w:r>
    </w:p>
    <w:p>
      <w:pPr>
        <w:spacing w:after="60" w:before="120" w:line="276" w:lineRule="auto"/>
        <w:jc w:val="both"/>
      </w:pPr>
      <w:r>
        <w:rPr>
          <w:rFonts w:ascii="Times New Roman" w:cs="Times New Roman" w:eastAsia="Times New Roman" w:hAnsi="Times New Roman"/>
          <w:b/>
          <w:bCs/>
          <w:sz w:val="24"/>
          <w:szCs w:val="24"/>
        </w:rPr>
        <w:t xml:space="preserve">2.03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Under § 15-3(g), Members who are not Managers owe NO fiduciary duties to the Company or to each other — a significant protection for passive investors.</w:t>
      </w:r>
    </w:p>
    <w:p>
      <w:pPr>
        <w:spacing w:after="60" w:before="120" w:line="276" w:lineRule="auto"/>
        <w:jc w:val="both"/>
      </w:pPr>
      <w:r>
        <w:rPr>
          <w:rFonts w:ascii="Times New Roman" w:cs="Times New Roman" w:eastAsia="Times New Roman" w:hAnsi="Times New Roman"/>
          <w:b/>
          <w:bCs/>
          <w:sz w:val="24"/>
          <w:szCs w:val="24"/>
        </w:rPr>
        <w:t xml:space="preserve">2.04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Company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805 ILCS 180/10-1, a contribution may be cash, property, services, or a binding promise to provide them. Illinois doesn't require a minimum capital contribution.</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This Agreement overrides 805 ILCS 180/15-1's per capita equal-share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 15-1 Per Capita Default</w:t>
      </w:r>
    </w:p>
    <w:p>
      <w:pPr>
        <w:spacing w:after="60" w:before="0" w:line="276" w:lineRule="auto"/>
        <w:jc w:val="both"/>
      </w:pPr>
      <w:r>
        <w:rPr>
          <w:rFonts w:ascii="Times New Roman" w:cs="Times New Roman" w:eastAsia="Times New Roman" w:hAnsi="Times New Roman"/>
          <w:sz w:val="24"/>
          <w:szCs w:val="24"/>
        </w:rPr>
        <w:t xml:space="preserve">CRITICAL CLAUSE: Absent this Agreement, 805 ILCS 180/15-1 would split ALL profits and losses per capita equally among members, regardless of capital contributed. This Agreement overrides that default.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Illinois LLCs are exempt from the state's franchise tax. The Company must file an annual report with the Illinois Secretary of State before the first day of its anniversary month (fee: $75). A $100 late penalty applies after 60 days. Administrative dissolution may occur at 180 days.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Illinois PPRT and federal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PPRT and Illinois Tax</w:t>
      </w:r>
    </w:p>
    <w:p>
      <w:pPr>
        <w:spacing w:after="60" w:before="0" w:line="276" w:lineRule="auto"/>
        <w:jc w:val="both"/>
      </w:pPr>
      <w:r>
        <w:rPr>
          <w:rFonts w:ascii="Times New Roman" w:cs="Times New Roman" w:eastAsia="Times New Roman" w:hAnsi="Times New Roman"/>
          <w:sz w:val="24"/>
          <w:szCs w:val="24"/>
        </w:rPr>
        <w:t xml:space="preserve">LLCs taxed as partnerships owe Illinois's Personal Property Replacement Tax (PPRT) at 1.5% on net income, filed via Form IL-1065. If the LLC elects corporate taxation, the combined rate is 9.5% (4.95% state income tax + 1.5% PPRT + 2.5% corporate income surcharge, as of 2026). Illinois LLCs have no franchise tax.</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Illinois Requirement</w:t>
      </w:r>
    </w:p>
    <w:p>
      <w:pPr>
        <w:spacing w:after="60" w:before="0" w:line="276" w:lineRule="auto"/>
        <w:jc w:val="both"/>
      </w:pPr>
      <w:r>
        <w:rPr>
          <w:rFonts w:ascii="Times New Roman" w:cs="Times New Roman" w:eastAsia="Times New Roman" w:hAnsi="Times New Roman"/>
          <w:sz w:val="24"/>
          <w:szCs w:val="24"/>
        </w:rPr>
        <w:t xml:space="preserve">Illinois defaults to member-managed under § 15-1(a). A manager-managed structure requires TWO documents to be consistent: (1) this Operating Agreement must vest authority in managers per § 15-1, and (2) the Articles of Organization filed with the Illinois Secretary of State must name the initial managers. If the two documents conflict, lenders and courts will see contradictory designations. Under § 15-1, a manager-managed company vests authority 'as provided in the operating agreement.' If the OA is silent on manager powers, the title has no defined authority.</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 and</w:t>
      </w:r>
    </w:p>
    <w:p>
      <w:pPr>
        <w:spacing w:after="60" w:before="0" w:line="276" w:lineRule="auto"/>
        <w:ind w:left="360"/>
        <w:jc w:val="both"/>
      </w:pPr>
      <w:r>
        <w:rPr>
          <w:rFonts w:ascii="Times New Roman" w:cs="Times New Roman" w:eastAsia="Times New Roman" w:hAnsi="Times New Roman"/>
          <w:sz w:val="24"/>
          <w:szCs w:val="24"/>
        </w:rPr>
        <w:t xml:space="preserve">(i)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0" w:line="276" w:lineRule="auto"/>
        <w:jc w:val="both"/>
      </w:pPr>
      <w:r>
        <w:rPr>
          <w:rFonts w:ascii="Times New Roman" w:cs="Times New Roman" w:eastAsia="Times New Roman" w:hAnsi="Times New Roman"/>
          <w:sz w:val="24"/>
          <w:szCs w:val="24"/>
        </w:rPr>
        <w:t xml:space="preserve">Actions requiring member approval:</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or conversion (unanimous consent per § 15-1(b)(2))</w:t>
      </w:r>
    </w:p>
    <w:p>
      <w:pPr>
        <w:spacing w:after="30" w:before="0" w:line="276" w:lineRule="auto"/>
        <w:ind w:left="360"/>
      </w:pPr>
      <w:r>
        <w:rPr>
          <w:rFonts w:ascii="Times New Roman" w:cs="Times New Roman" w:eastAsia="Times New Roman" w:hAnsi="Times New Roman"/>
          <w:sz w:val="24"/>
          <w:szCs w:val="24"/>
        </w:rPr>
        <w:t xml:space="preserve">□  Amendment of this Operating Agreement (unanimous consent per § 15-1(b)(2))</w:t>
      </w:r>
    </w:p>
    <w:p>
      <w:pPr>
        <w:spacing w:after="30" w:before="0" w:line="276" w:lineRule="auto"/>
        <w:ind w:left="360"/>
      </w:pPr>
      <w:r>
        <w:rPr>
          <w:rFonts w:ascii="Times New Roman" w:cs="Times New Roman" w:eastAsia="Times New Roman" w:hAnsi="Times New Roman"/>
          <w:sz w:val="24"/>
          <w:szCs w:val="24"/>
        </w:rPr>
        <w:t xml:space="preserve">□  Admission of new Members (unanimous consent per § 15-1(b)(2))</w:t>
      </w:r>
    </w:p>
    <w:p>
      <w:pPr>
        <w:spacing w:after="30" w:before="0" w:line="276" w:lineRule="auto"/>
        <w:ind w:left="360"/>
      </w:pPr>
      <w:r>
        <w:rPr>
          <w:rFonts w:ascii="Times New Roman" w:cs="Times New Roman" w:eastAsia="Times New Roman" w:hAnsi="Times New Roman"/>
          <w:sz w:val="24"/>
          <w:szCs w:val="24"/>
        </w:rPr>
        <w:t xml:space="preserve">□  Voluntary dissolution</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The Manager may be removed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the LLC shall be managed by Members until a new Manager is designated.</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The Manager is not personally liable for Company obligations solely by reason of being a Manager pursuant to 805 ILCS 180.</w:t>
      </w:r>
    </w:p>
    <w:p>
      <w:pPr>
        <w:spacing w:after="60" w:before="120" w:line="276" w:lineRule="auto"/>
        <w:jc w:val="both"/>
      </w:pPr>
      <w:r>
        <w:rPr>
          <w:rFonts w:ascii="Times New Roman" w:cs="Times New Roman" w:eastAsia="Times New Roman" w:hAnsi="Times New Roman"/>
          <w:b/>
          <w:bCs/>
          <w:sz w:val="24"/>
          <w:szCs w:val="24"/>
        </w:rPr>
        <w:t xml:space="preserve">6.02 Manager Fiduciary Duties — P.A. 102-0230</w:t>
      </w:r>
    </w:p>
    <w:p>
      <w:pPr>
        <w:spacing w:after="60" w:before="0" w:line="276" w:lineRule="auto"/>
        <w:jc w:val="both"/>
      </w:pPr>
      <w:r>
        <w:rPr>
          <w:rFonts w:ascii="Times New Roman" w:cs="Times New Roman" w:eastAsia="Times New Roman" w:hAnsi="Times New Roman"/>
          <w:sz w:val="24"/>
          <w:szCs w:val="24"/>
        </w:rPr>
        <w:t xml:space="preserve">Under 805 ILCS 180/15-3(a), managers owe fiduciary duties of care and loyalty to the Company and Members. Per P.A. 102-0230 (effective January 2022), this Agreement may restrict the duty of loyalty with member consent and define categories of non-violating conduct. However:</w:t>
      </w:r>
    </w:p>
    <w:p>
      <w:pPr>
        <w:spacing w:after="60" w:before="0" w:line="276" w:lineRule="auto"/>
        <w:ind w:left="360"/>
        <w:jc w:val="both"/>
      </w:pPr>
      <w:r>
        <w:rPr>
          <w:rFonts w:ascii="Times New Roman" w:cs="Times New Roman" w:eastAsia="Times New Roman" w:hAnsi="Times New Roman"/>
          <w:sz w:val="24"/>
          <w:szCs w:val="24"/>
        </w:rPr>
        <w:t xml:space="preserve">(a)  Duty of Care: Per § 15-3(c), the Manager is liable for gross negligence, reckless conduct, or knowing violations of law. This standard can be modified but not eliminated.</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No self-dealing, competition, or usurping Company opportunities.</w:t>
      </w:r>
    </w:p>
    <w:p>
      <w:pPr>
        <w:spacing w:after="60" w:before="0" w:line="276" w:lineRule="auto"/>
        <w:jc w:val="both"/>
      </w:pPr>
      <w:r>
        <w:rPr>
          <w:rFonts w:ascii="Times New Roman" w:cs="Times New Roman" w:eastAsia="Times New Roman" w:hAnsi="Times New Roman"/>
          <w:sz w:val="24"/>
          <w:szCs w:val="24"/>
        </w:rPr>
        <w:t xml:space="preserve">Per § 15-3(g), Members who are NOT Managers owe NO fiduciary duties to the Company or to each other. The implied covenant of good faith and fair dealing (§ 15-5(b)(7)) cannot be eliminated. No clause may authorize intentional misconduct or knowing violations of law.</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gross negligence, reckless conduct, intentional misconduct, or knowing violation of law.</w:t>
      </w:r>
    </w:p>
    <w:p>
      <w:pPr>
        <w:spacing w:after="60" w:before="120" w:line="276" w:lineRule="auto"/>
        <w:jc w:val="both"/>
      </w:pPr>
      <w:r>
        <w:rPr>
          <w:rFonts w:ascii="Times New Roman" w:cs="Times New Roman" w:eastAsia="Times New Roman" w:hAnsi="Times New Roman"/>
          <w:b/>
          <w:bCs/>
          <w:sz w:val="24"/>
          <w:szCs w:val="24"/>
        </w:rPr>
        <w:t xml:space="preserve">6.04 Indemnification</w:t>
      </w:r>
    </w:p>
    <w:p>
      <w:pPr>
        <w:spacing w:after="60" w:before="0" w:line="276" w:lineRule="auto"/>
        <w:jc w:val="both"/>
      </w:pPr>
      <w:r>
        <w:rPr>
          <w:rFonts w:ascii="Times New Roman" w:cs="Times New Roman" w:eastAsia="Times New Roman" w:hAnsi="Times New Roman"/>
          <w:sz w:val="24"/>
          <w:szCs w:val="24"/>
        </w:rPr>
        <w:t xml:space="preserve">The Company indemnifies the Manager per 805 ILCS 180. The Company may advance defense costs upon the Manager's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this Agreement and all amendments; federal and state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Per 805 ILCS 180/15-5(b), the operating agreement cannot unreasonably restrict a member's right to inspect company records.</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Illinois Secretary of State before the first day of its anniversary month (fee: $75). A $100 late penalty applies after 60 days. Administrative dissolution may occur at 180 days.</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w:t>
      </w:r>
    </w:p>
    <w:p>
      <w:pPr>
        <w:spacing w:after="60" w:before="0" w:line="276" w:lineRule="auto"/>
        <w:jc w:val="both"/>
      </w:pPr>
      <w:r>
        <w:rPr>
          <w:rFonts w:ascii="Times New Roman" w:cs="Times New Roman" w:eastAsia="Times New Roman" w:hAnsi="Times New Roman"/>
          <w:sz w:val="24"/>
          <w:szCs w:val="24"/>
        </w:rPr>
        <w:t xml:space="preserve">Under 805 ILCS 180/30-5, a Member may transfer the economic rights attached to their membership interest (the right to receive distributions) without restriction. A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9.03 Full Membership Transfer</w:t>
      </w:r>
    </w:p>
    <w:p>
      <w:pPr>
        <w:spacing w:after="60" w:before="0" w:line="276" w:lineRule="auto"/>
        <w:jc w:val="both"/>
      </w:pPr>
      <w:r>
        <w:rPr>
          <w:rFonts w:ascii="Times New Roman" w:cs="Times New Roman" w:eastAsia="Times New Roman" w:hAnsi="Times New Roman"/>
          <w:sz w:val="24"/>
          <w:szCs w:val="24"/>
        </w:rPr>
        <w:t xml:space="preserve">Per § 30-5(a)(4), transfer of full membership interest, including governance rights, requires the consent of all non-transferring members unless this Agreement says otherwise.</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Illinois Secretary of State;</w:t>
      </w:r>
    </w:p>
    <w:p>
      <w:pPr>
        <w:spacing w:after="60" w:before="0" w:line="276" w:lineRule="auto"/>
        <w:ind w:left="360"/>
        <w:jc w:val="both"/>
      </w:pPr>
      <w:r>
        <w:rPr>
          <w:rFonts w:ascii="Times New Roman" w:cs="Times New Roman" w:eastAsia="Times New Roman" w:hAnsi="Times New Roman"/>
          <w:sz w:val="24"/>
          <w:szCs w:val="24"/>
        </w:rPr>
        <w:t xml:space="preserve">(c)  Judicial dissolution under 805 ILCS 180/35-1 — the right to seek judicial dissolution is non-waivable per § 15-5(b) and cannot be restricted by this Agreement.</w:t>
      </w:r>
    </w:p>
    <w:p>
      <w:pPr>
        <w:spacing w:after="60" w:before="120" w:line="276" w:lineRule="auto"/>
        <w:jc w:val="both"/>
      </w:pPr>
      <w:r>
        <w:rPr>
          <w:rFonts w:ascii="Times New Roman" w:cs="Times New Roman" w:eastAsia="Times New Roman" w:hAnsi="Times New Roman"/>
          <w:b/>
          <w:bCs/>
          <w:sz w:val="24"/>
          <w:szCs w:val="24"/>
        </w:rPr>
        <w:t xml:space="preserve">10.02 Wind-Up Obligations</w:t>
      </w:r>
    </w:p>
    <w:p>
      <w:pPr>
        <w:spacing w:after="60" w:before="0" w:line="276" w:lineRule="auto"/>
        <w:jc w:val="both"/>
      </w:pPr>
      <w:r>
        <w:rPr>
          <w:rFonts w:ascii="Times New Roman" w:cs="Times New Roman" w:eastAsia="Times New Roman" w:hAnsi="Times New Roman"/>
          <w:sz w:val="24"/>
          <w:szCs w:val="24"/>
        </w:rPr>
        <w:t xml:space="preserve">Per 805 ILCS 180/35-1, this Agreement continues to govern asset distribution during the wind-up period until the final accounting is complete.</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Illinois provides no statutory tiebreaker for deadlocked LLCs; this clause prevents immediate resort to judicial dissolution under § 35-1.</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Illinois, including 805 ILCS 180, the Illinois Limited Liability Company Act, and amendments thereto including P.A. 102-0230.</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and Manager(s). Under 805 ILCS 180/15-1(b)(2), if this Agreement is silent, unanimous consent of all members is required.</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Illinois.</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Illinois Secretary of State. No notarization is required, though Illinois banks typically require a signed copy before opening a business checking account.</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as of the date first written above.</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Illinois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Illinois-specific statute references under 805 ILCS 180, the Illinois Limited Liability Company Act, including amendments under P.A. 102-0230.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Illinois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Illinois LLC Resources:</w:t>
      </w:r>
    </w:p>
    <w:p>
      <w:pPr>
        <w:spacing w:after="40" w:before="0" w:line="276" w:lineRule="auto"/>
      </w:pPr>
      <w:hyperlink w:history="1" r:id="rIddazczdajm3_uklpr_ecj0">
        <w:r>
          <w:rPr>
            <w:rFonts w:ascii="Times New Roman" w:cs="Times New Roman" w:eastAsia="Times New Roman" w:hAnsi="Times New Roman"/>
            <w:color w:val="0000FF"/>
            <w:sz w:val="24"/>
            <w:szCs w:val="24"/>
            <w:u w:val="single"/>
          </w:rPr>
          <w:t xml:space="preserve">→  https://boostsuite.com/operating-agreement/illinois/</w:t>
        </w:r>
      </w:hyperlink>
    </w:p>
    <w:p>
      <w:pPr>
        <w:spacing w:after="40" w:before="0" w:line="276" w:lineRule="auto"/>
      </w:pPr>
      <w:hyperlink w:history="1" r:id="rIdf6isf0pqcuftrt2kmk5k6">
        <w:r>
          <w:rPr>
            <w:rFonts w:ascii="Times New Roman" w:cs="Times New Roman" w:eastAsia="Times New Roman" w:hAnsi="Times New Roman"/>
            <w:color w:val="0000FF"/>
            <w:sz w:val="24"/>
            <w:szCs w:val="24"/>
            <w:u w:val="single"/>
          </w:rPr>
          <w:t xml:space="preserve">→  https://boostsuite.com/how-to-start-an-llc/illinois/</w:t>
        </w:r>
      </w:hyperlink>
    </w:p>
    <w:p>
      <w:pPr>
        <w:spacing w:after="40" w:before="0" w:line="276" w:lineRule="auto"/>
      </w:pPr>
      <w:hyperlink w:history="1" r:id="rIdc17thrchfujsghzngfgfx">
        <w:r>
          <w:rPr>
            <w:rFonts w:ascii="Times New Roman" w:cs="Times New Roman" w:eastAsia="Times New Roman" w:hAnsi="Times New Roman"/>
            <w:color w:val="0000FF"/>
            <w:sz w:val="24"/>
            <w:szCs w:val="24"/>
            <w:u w:val="single"/>
          </w:rPr>
          <w:t xml:space="preserve">→  https://boostsuite.com/how-to-start-an-llc/cost/illinois/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2026-04-14T08:53:16.626Z</dcterms:created>
  <dcterms:modified xsi:type="dcterms:W3CDTF">2026-04-14T08:53:16.626Z</dcterms:modified>
</cp:coreProperties>
</file>

<file path=docProps/custom.xml><?xml version="1.0" encoding="utf-8"?>
<Properties xmlns="http://schemas.openxmlformats.org/officeDocument/2006/custom-properties" xmlns:vt="http://schemas.openxmlformats.org/officeDocument/2006/docPropsVTypes"/>
</file>