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HAWAII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(Form LLC-1) with the DCCA Business Registration Division pursuant to HRS Chapter 428, Uniform Limited Liability Company Act. Under § 428-203(c), this Operating Agreement controls over the Articles of Organization for all internal disputes between the Member and the Company. The Articles of Organization control only for third parties who relied on them. This Operating Agreement is not filed with the DCCA.</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name in this Agreement must match the name on the approved Articles of Organization exactly, including punctuation.</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Address (physical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 and Duration</w:t>
      </w:r>
    </w:p>
    <w:p>
      <w:pPr>
        <w:spacing w:after="60" w:before="0" w:line="276" w:lineRule="auto"/>
        <w:jc w:val="both"/>
      </w:pPr>
      <w:r>
        <w:rPr>
          <w:rFonts w:ascii="Times New Roman" w:cs="Times New Roman" w:eastAsia="Times New Roman" w:hAnsi="Times New Roman"/>
          <w:sz w:val="24"/>
          <w:szCs w:val="24"/>
        </w:rPr>
        <w:t xml:space="preserve">Pursuant to § 428-203(d), Hawaii treats every LLC as an at-will entity unless the Articles of Organization specify a fixed term. This Agreement designates the Company as perpetual in duration, overriding the at-will default.</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HRS Chapter 428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 (physical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Operating Agreement Validity</w:t>
      </w:r>
    </w:p>
    <w:p>
      <w:pPr>
        <w:spacing w:after="60" w:before="0" w:line="276" w:lineRule="auto"/>
        <w:jc w:val="both"/>
      </w:pPr>
      <w:r>
        <w:rPr>
          <w:rFonts w:ascii="Times New Roman" w:cs="Times New Roman" w:eastAsia="Times New Roman" w:hAnsi="Times New Roman"/>
          <w:sz w:val="24"/>
          <w:szCs w:val="24"/>
        </w:rPr>
        <w:t xml:space="preserve">Under § 428-101, an operating agreement may be oral, implied by conduct, or written. Under § 428-103, members may enter into an operating agreement to regulate the Company's affairs. This single-member written Operating Agreement governs all aspects of the Company's internal governance.</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New members may be admitted only by written amendment signed by the Member and the incoming member. A transferee receiving only a distributional interest under § 428-501 does not become a Member; under § 428-502, transferees cannot vote, inspect records, or participate in management without all members' consent.</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 Under § 428-401, contributions may take any form the members agree on, including cash, property, or services. Under § 428-402(b), the Member's obligation to contribute is enforceable even if the Member cannot perform.</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 tracking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3.04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Absent this Agreement, § 428-405(a) would split all distributions in equal shares — this clause overrides that default and assigns 100% to the sole Member.</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and liabilities. Hawaii imposes no franchise tax on LLCs. The Company must file an annual report with the DCCA Business Registration Division each year (fee: approximately $15), due at the end of the quarter in which the Company was originally formed.</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4.04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4.05 Tax Treatment and GET</w:t>
      </w:r>
    </w:p>
    <w:p>
      <w:pPr>
        <w:spacing w:after="60" w:before="0" w:line="276" w:lineRule="auto"/>
        <w:jc w:val="both"/>
      </w:pPr>
      <w:r>
        <w:rPr>
          <w:rFonts w:ascii="Times New Roman" w:cs="Times New Roman" w:eastAsia="Times New Roman" w:hAnsi="Times New Roman"/>
          <w:sz w:val="24"/>
          <w:szCs w:val="24"/>
        </w:rPr>
        <w:t xml:space="preserve">The Company is a disregarded entity (sole proprietorship) for federal income tax purposes. The Company is subject to Hawaii's General Excise Tax (GET) on gross income at 4% (4.5% for businesses located in Oahu, Kauai, or Hawaii County). Register for the GET by filing Form BB-1 with the Hawaii Department of Taxation ($20 one-time license fee). Hawaii's top individual income tax rate reaches 11%. The Member may elect an alternative federal classification:</w:t>
      </w:r>
    </w:p>
    <w:p>
      <w:pPr>
        <w:spacing w:after="40" w:before="0" w:line="276" w:lineRule="auto"/>
      </w:pP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r>
        <w:rPr>
          <w:rFonts w:ascii="Times New Roman" w:cs="Times New Roman" w:eastAsia="Times New Roman" w:hAnsi="Times New Roman"/>
          <w:sz w:val="24"/>
          <w:szCs w:val="24"/>
        </w:rPr>
        <w:t xml:space="preserve">□  Default — Disregarded Entity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HRS Chapter 428 and the Member's positive capital account balance per Treasury Regulation § 1.704-1(b)(2)(iv).</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 428-404(a), this Company is member-managed by default. The Member has full authority over the Company's daily operations. In a member-managed LLC, the Member is an agent of the Company under § 428-301(a) with authority to bind the Company in the ordinary course of business. Note: a manager-managed structure requires designation in the Articles of Organization (Form LLC-1) at the time of filing with the DCCA; it cannot be created through the operating agreement alone.</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jc w:val="both"/>
      </w:pPr>
      <w:r>
        <w:rPr>
          <w:rFonts w:ascii="Times New Roman" w:cs="Times New Roman" w:eastAsia="Times New Roman" w:hAnsi="Times New Roman"/>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Under § 428-404(d), take decisions by written consent without a formal member meeting.</w:t>
      </w:r>
    </w:p>
    <w:p>
      <w:pPr>
        <w:spacing w:after="60" w:before="0" w:line="276" w:lineRule="auto"/>
        <w:ind w:left="360"/>
        <w:jc w:val="both"/>
      </w:pPr>
      <w:r>
        <w:rPr>
          <w:rFonts w:ascii="Times New Roman" w:cs="Times New Roman" w:eastAsia="Times New Roman" w:hAnsi="Times New Roman"/>
          <w:sz w:val="24"/>
          <w:szCs w:val="24"/>
        </w:rPr>
        <w:t xml:space="preserve">(e)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Authorized Persons</w:t>
      </w:r>
    </w:p>
    <w:p>
      <w:pPr>
        <w:spacing w:after="60" w:before="0" w:line="276" w:lineRule="auto"/>
        <w:jc w:val="both"/>
      </w:pPr>
      <w:r>
        <w:rPr>
          <w:rFonts w:ascii="Times New Roman" w:cs="Times New Roman" w:eastAsia="Times New Roman" w:hAnsi="Times New Roman"/>
          <w:sz w:val="24"/>
          <w:szCs w:val="24"/>
        </w:rPr>
        <w:t xml:space="preserve">The Member may appoint officers or agents for limited operational or banking purposes.</w:t>
      </w:r>
    </w:p>
    <w:p>
      <w:pPr>
        <w:spacing w:after="40" w:before="0" w:line="276" w:lineRule="auto"/>
      </w:pPr>
      <w:r>
        <w:rPr>
          <w:rFonts w:ascii="Times New Roman" w:cs="Times New Roman" w:eastAsia="Times New Roman" w:hAnsi="Times New Roman"/>
          <w:sz w:val="24"/>
          <w:szCs w:val="24"/>
        </w:rPr>
        <w:t xml:space="preserve">Authorized Person(s):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Fiduciary Duties</w:t>
      </w:r>
    </w:p>
    <w:p>
      <w:pPr>
        <w:spacing w:after="60" w:before="0" w:line="276" w:lineRule="auto"/>
        <w:jc w:val="both"/>
      </w:pPr>
      <w:r>
        <w:rPr>
          <w:rFonts w:ascii="Times New Roman" w:cs="Times New Roman" w:eastAsia="Times New Roman" w:hAnsi="Times New Roman"/>
          <w:sz w:val="24"/>
          <w:szCs w:val="24"/>
        </w:rPr>
        <w:t xml:space="preserve">Pursuant to § 428-409, the Member shall act consistently with the duty of loyalty and duty of care. Under § 428-103(b), these duties can be narrowed by this Agreement but not eliminated; any limitation must not be 'manifestly unreasonable.' The Agreement cannot exonerate any person from liability for bad faith, willful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pursuant to HRS Chapter 428. Maintaining the Company as a separate entity — including separate bank accounts, documented capital contributions, and formal distribution records — is essential to preserving this protection against veil-piercing.</w:t>
      </w:r>
    </w:p>
    <w:p>
      <w:pPr>
        <w:spacing w:after="60" w:before="120" w:line="276" w:lineRule="auto"/>
        <w:jc w:val="both"/>
      </w:pPr>
      <w:r>
        <w:rPr>
          <w:rFonts w:ascii="Times New Roman" w:cs="Times New Roman" w:eastAsia="Times New Roman" w:hAnsi="Times New Roman"/>
          <w:b/>
          <w:bCs/>
          <w:sz w:val="24"/>
          <w:szCs w:val="24"/>
        </w:rPr>
        <w:t xml:space="preserve">6.02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to promote the Company's interests shall not subject the Member to personal liability, provided the conduct does not constitute bad faith, willful misconduct, or knowing violation of law.</w:t>
      </w:r>
    </w:p>
    <w:p>
      <w:pPr>
        <w:spacing w:after="60" w:before="120" w:line="276" w:lineRule="auto"/>
        <w:jc w:val="both"/>
      </w:pPr>
      <w:r>
        <w:rPr>
          <w:rFonts w:ascii="Times New Roman" w:cs="Times New Roman" w:eastAsia="Times New Roman" w:hAnsi="Times New Roman"/>
          <w:b/>
          <w:bCs/>
          <w:sz w:val="24"/>
          <w:szCs w:val="24"/>
        </w:rPr>
        <w:t xml:space="preserve">6.03 Indemnification</w:t>
      </w:r>
    </w:p>
    <w:p>
      <w:pPr>
        <w:spacing w:after="60" w:before="0" w:line="276" w:lineRule="auto"/>
        <w:jc w:val="both"/>
      </w:pPr>
      <w:r>
        <w:rPr>
          <w:rFonts w:ascii="Times New Roman" w:cs="Times New Roman" w:eastAsia="Times New Roman" w:hAnsi="Times New Roman"/>
          <w:sz w:val="24"/>
          <w:szCs w:val="24"/>
        </w:rPr>
        <w:t xml:space="preserve">The Company may indemnify the Member, employees, officers, and agents for costs incurred in connection with Company business, except where liability arises from bad faith, willful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The Company shall maintain: (a) this signed Agreement and all amendments; (b) Articles of Organization (Form LLC-1) and all amendments; (c) federal and Hawaii tax returns for the three (3) most recent years; (d) financial statements for the three (3) most recent years; and (e) records of all Member resolutions.</w:t>
      </w:r>
    </w:p>
    <w:p>
      <w:pPr>
        <w:spacing w:after="60" w:before="120" w:line="276" w:lineRule="auto"/>
        <w:jc w:val="both"/>
      </w:pPr>
      <w:r>
        <w:rPr>
          <w:rFonts w:ascii="Times New Roman" w:cs="Times New Roman" w:eastAsia="Times New Roman" w:hAnsi="Times New Roman"/>
          <w:b/>
          <w:bCs/>
          <w:sz w:val="24"/>
          <w:szCs w:val="24"/>
        </w:rPr>
        <w:t xml:space="preserve">8.03 Inspection Rights</w:t>
      </w:r>
    </w:p>
    <w:p>
      <w:pPr>
        <w:spacing w:after="60" w:before="0" w:line="276" w:lineRule="auto"/>
        <w:jc w:val="both"/>
      </w:pPr>
      <w:r>
        <w:rPr>
          <w:rFonts w:ascii="Times New Roman" w:cs="Times New Roman" w:eastAsia="Times New Roman" w:hAnsi="Times New Roman"/>
          <w:sz w:val="24"/>
          <w:szCs w:val="24"/>
        </w:rPr>
        <w:t xml:space="preserve">The Member has the right to access all Company records pursuant to § 428-408. This right is non-waivable under § 428-103(b); the operating agreement may impose reasonable restrictions on timing and manner but cannot eliminate it.</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DCCA Business Registration Division each year. The fee is approximately $15, due at the end of the quarter in which the Company was originally formed. A $10 late fee applies. Persistent failure may result in administrative dissolution.</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Distributional Interest</w:t>
      </w:r>
    </w:p>
    <w:p>
      <w:pPr>
        <w:spacing w:after="60" w:before="0" w:line="276" w:lineRule="auto"/>
        <w:jc w:val="both"/>
      </w:pPr>
      <w:r>
        <w:rPr>
          <w:rFonts w:ascii="Times New Roman" w:cs="Times New Roman" w:eastAsia="Times New Roman" w:hAnsi="Times New Roman"/>
          <w:sz w:val="24"/>
          <w:szCs w:val="24"/>
        </w:rPr>
        <w:t xml:space="preserve">Under § 428-501, a member may transfer their distributional interest (the right to receive distributions) to any person. Under § 428-502, a transferee does not become a Member and cannot vote, inspect records, or participate in management unless all existing members consent.</w:t>
      </w:r>
    </w:p>
    <w:p>
      <w:pPr>
        <w:spacing w:after="60" w:before="120" w:line="276" w:lineRule="auto"/>
        <w:jc w:val="both"/>
      </w:pPr>
      <w:r>
        <w:rPr>
          <w:rFonts w:ascii="Times New Roman" w:cs="Times New Roman" w:eastAsia="Times New Roman" w:hAnsi="Times New Roman"/>
          <w:b/>
          <w:bCs/>
          <w:sz w:val="24"/>
          <w:szCs w:val="24"/>
        </w:rPr>
        <w:t xml:space="preserve">9.02 Right of First Refusal</w:t>
      </w:r>
    </w:p>
    <w:p>
      <w:pPr>
        <w:spacing w:after="60" w:before="0" w:line="276" w:lineRule="auto"/>
        <w:jc w:val="both"/>
      </w:pPr>
      <w:r>
        <w:rPr>
          <w:rFonts w:ascii="Times New Roman" w:cs="Times New Roman" w:eastAsia="Times New Roman" w:hAnsi="Times New Roman"/>
          <w:sz w:val="24"/>
          <w:szCs w:val="24"/>
        </w:rPr>
        <w:t xml:space="preserve">Before transferring any distributional interest to a third party, the Member shall first offer the interest to any successor member identified in Section 2.03.</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Continuation Clause and At-Will Override</w:t>
      </w:r>
    </w:p>
    <w:p>
      <w:pPr>
        <w:spacing w:after="60" w:before="0" w:line="276" w:lineRule="auto"/>
        <w:jc w:val="both"/>
      </w:pPr>
      <w:r>
        <w:rPr>
          <w:rFonts w:ascii="Times New Roman" w:cs="Times New Roman" w:eastAsia="Times New Roman" w:hAnsi="Times New Roman"/>
          <w:sz w:val="24"/>
          <w:szCs w:val="24"/>
        </w:rPr>
        <w:t xml:space="preserve">Because Hawaii treats every LLC as an at-will entity under § 428-203(d), this Agreement overrides that default. The Company shall continue perpetually until dissolved pursuant to this Article. The following events trigger dissolution:</w:t>
      </w:r>
    </w:p>
    <w:p>
      <w:pPr>
        <w:spacing w:after="60" w:before="0" w:line="276" w:lineRule="auto"/>
        <w:ind w:left="360"/>
        <w:jc w:val="both"/>
      </w:pPr>
      <w:r>
        <w:rPr>
          <w:rFonts w:ascii="Times New Roman" w:cs="Times New Roman" w:eastAsia="Times New Roman" w:hAnsi="Times New Roman"/>
          <w:sz w:val="24"/>
          <w:szCs w:val="24"/>
        </w:rPr>
        <w:t xml:space="preserve">(a)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DCCA for failure to maintain compliance;</w:t>
      </w:r>
    </w:p>
    <w:p>
      <w:pPr>
        <w:spacing w:after="60" w:before="0" w:line="276" w:lineRule="auto"/>
        <w:ind w:left="360"/>
        <w:jc w:val="both"/>
      </w:pPr>
      <w:r>
        <w:rPr>
          <w:rFonts w:ascii="Times New Roman" w:cs="Times New Roman" w:eastAsia="Times New Roman" w:hAnsi="Times New Roman"/>
          <w:sz w:val="24"/>
          <w:szCs w:val="24"/>
        </w:rPr>
        <w:t xml:space="preserve">(c)  Judicial dissolution ordered by a court pursuant to § 428-801(4) when the Member has acted in a manner that is illegal, oppressive, fraudulent, or unfairly prejudicial (this right cannot be restricted by this Agreement); or</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this Agreement or the Articles of Organization.</w:t>
      </w:r>
    </w:p>
    <w:p>
      <w:pPr>
        <w:spacing w:after="60" w:before="120" w:line="276" w:lineRule="auto"/>
        <w:jc w:val="both"/>
      </w:pPr>
      <w:r>
        <w:rPr>
          <w:rFonts w:ascii="Times New Roman" w:cs="Times New Roman" w:eastAsia="Times New Roman" w:hAnsi="Times New Roman"/>
          <w:b/>
          <w:bCs/>
          <w:sz w:val="24"/>
          <w:szCs w:val="24"/>
        </w:rPr>
        <w:t xml:space="preserve">10.02 Successor Member</w:t>
      </w:r>
    </w:p>
    <w:p>
      <w:pPr>
        <w:spacing w:after="60" w:before="0" w:line="276" w:lineRule="auto"/>
        <w:jc w:val="both"/>
      </w:pPr>
      <w:r>
        <w:rPr>
          <w:rFonts w:ascii="Times New Roman" w:cs="Times New Roman" w:eastAsia="Times New Roman" w:hAnsi="Times New Roman"/>
          <w:sz w:val="24"/>
          <w:szCs w:val="24"/>
        </w:rPr>
        <w:t xml:space="preserve">The Member designates the following person as successor member to prevent dissolution upon the Member's death or incapacity:</w:t>
      </w:r>
    </w:p>
    <w:p>
      <w:pPr>
        <w:spacing w:after="40" w:before="0" w:line="276" w:lineRule="auto"/>
      </w:pPr>
      <w:r>
        <w:rPr>
          <w:rFonts w:ascii="Times New Roman" w:cs="Times New Roman" w:eastAsia="Times New Roman" w:hAnsi="Times New Roman"/>
          <w:sz w:val="24"/>
          <w:szCs w:val="24"/>
        </w:rPr>
        <w:t xml:space="preserve">Successor 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Successor Member 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Winding Up and Distributions</w:t>
      </w:r>
    </w:p>
    <w:p>
      <w:pPr>
        <w:spacing w:after="40" w:before="0" w:line="276" w:lineRule="auto"/>
      </w:pPr>
      <w:r>
        <w:rPr>
          <w:rFonts w:ascii="Times New Roman" w:cs="Times New Roman" w:eastAsia="Times New Roman" w:hAnsi="Times New Roman"/>
          <w:sz w:val="24"/>
          <w:szCs w:val="24"/>
        </w:rPr>
        <w:t xml:space="preserve">Liquidator Name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Hawaii, including the Hawaii Uniform Limited Liability Company Act, HRS Chapter 428.</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This Agreement may be amended only by a written amendment signed by the Member. Review annually alongside the DCCA annual report filing.</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Hawaii.</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LLC-1), and all exhibits constitute the complete agreement of the Member.</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DCCA. It is a private, internal document. Hawaii law does not require notarization, but a notarized signature adds authentication if the Agreement is ever challenged.</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Hawaii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Hawaii-specific statute references under the Hawaii Uniform Limited Liability Company Act, HRS Chapter 428.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Hawaii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Hawaii LLC Resources:</w:t>
      </w:r>
    </w:p>
    <w:p>
      <w:pPr>
        <w:spacing w:after="40" w:before="0" w:line="276" w:lineRule="auto"/>
      </w:pPr>
      <w:hyperlink w:history="1" r:id="rIda3kpqcdjvbdno4a_q7eyi">
        <w:r>
          <w:rPr>
            <w:rFonts w:ascii="Times New Roman" w:cs="Times New Roman" w:eastAsia="Times New Roman" w:hAnsi="Times New Roman"/>
            <w:color w:val="0000FF"/>
            <w:sz w:val="24"/>
            <w:szCs w:val="24"/>
            <w:u w:val="single"/>
          </w:rPr>
          <w:t xml:space="preserve">→  https://boostsuite.com/operating-agreement/hawaii/</w:t>
        </w:r>
      </w:hyperlink>
    </w:p>
    <w:p>
      <w:pPr>
        <w:spacing w:after="40" w:before="0" w:line="276" w:lineRule="auto"/>
      </w:pPr>
      <w:hyperlink w:history="1" r:id="rIdbbz0pekyujch7klze8pft">
        <w:r>
          <w:rPr>
            <w:rFonts w:ascii="Times New Roman" w:cs="Times New Roman" w:eastAsia="Times New Roman" w:hAnsi="Times New Roman"/>
            <w:color w:val="0000FF"/>
            <w:sz w:val="24"/>
            <w:szCs w:val="24"/>
            <w:u w:val="single"/>
          </w:rPr>
          <w:t xml:space="preserve">→  https://boostsuite.com/how-to-start-an-llc/hawaii/</w:t>
        </w:r>
      </w:hyperlink>
    </w:p>
    <w:p>
      <w:pPr>
        <w:spacing w:after="40" w:before="0" w:line="276" w:lineRule="auto"/>
      </w:pPr>
      <w:hyperlink w:history="1" r:id="rIdt19rlfbkt8sphlets3gjs">
        <w:r>
          <w:rPr>
            <w:rFonts w:ascii="Times New Roman" w:cs="Times New Roman" w:eastAsia="Times New Roman" w:hAnsi="Times New Roman"/>
            <w:color w:val="0000FF"/>
            <w:sz w:val="24"/>
            <w:szCs w:val="24"/>
            <w:u w:val="single"/>
          </w:rPr>
          <w:t xml:space="preserve">→  https://boostsuite.com/how-to-start-an-llc/cost/hawaii/</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a3kpqcdjvbdno4a_q7eyi" Type="http://schemas.openxmlformats.org/officeDocument/2006/relationships/hyperlink" Target="https://boostsuite.com/operating-agreement/hawaii/" TargetMode="External"/><Relationship Id="rIdbbz0pekyujch7klze8pft" Type="http://schemas.openxmlformats.org/officeDocument/2006/relationships/hyperlink" Target="https://boostsuite.com/how-to-start-an-llc/hawaii/" TargetMode="External"/><Relationship Id="rIdt19rlfbkt8sphlets3gjs" Type="http://schemas.openxmlformats.org/officeDocument/2006/relationships/hyperlink" Target="https://boostsuite.com/how-to-start-an-llc/cost/hawaii/"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2026-04-14T08:35:45.877Z</dcterms:created>
  <dcterms:modified xsi:type="dcterms:W3CDTF">2026-04-14T08:35:45.878Z</dcterms:modified>
</cp:coreProperties>
</file>

<file path=docProps/custom.xml><?xml version="1.0" encoding="utf-8"?>
<Properties xmlns="http://schemas.openxmlformats.org/officeDocument/2006/custom-properties" xmlns:vt="http://schemas.openxmlformats.org/officeDocument/2006/docPropsVTypes"/>
</file>