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FLORIDA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with the Florida Division of Corporations pursuant to the Florida Revised Limited Liability Company Act, Chapter 605, Florida Statutes. This Agreement governs the Company's affairs pursuant to § 605.0105. Per § 605.0107, this Agreement prevails among the Member, dissociated members, and transferees; the Articles of Organization prevail for third parties who reasonably rely on the public record. This Agreement is not filed with the Florida Division of Corporations.</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jc w:val="left"/>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Member may change the Company name provided it complies with Chapter 605 naming requirements.</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jc w:val="left"/>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street address,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 605.0702 of the Florida Revised Limited Liability Company Act.</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Chapter 605, Florida Statutes,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Principal Place of Business</w:t>
      </w:r>
    </w:p>
    <w:p>
      <w:pPr>
        <w:spacing w:after="20" w:before="0" w:line="276" w:lineRule="auto"/>
      </w:pPr>
      <w:r>
        <w:rPr>
          <w:rFonts w:ascii="Times New Roman" w:cs="Times New Roman" w:eastAsia="Times New Roman" w:hAnsi="Times New Roman"/>
          <w:sz w:val="24"/>
          <w:szCs w:val="24"/>
        </w:rPr>
        <w:t xml:space="preserve">Principal Office Address (physical street address,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jc w:val="left"/>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Admission of Additional Members</w:t>
      </w:r>
    </w:p>
    <w:p>
      <w:pPr>
        <w:spacing w:after="60" w:before="0" w:line="276" w:lineRule="auto"/>
        <w:jc w:val="both"/>
      </w:pPr>
      <w:r>
        <w:rPr>
          <w:rFonts w:ascii="Times New Roman" w:cs="Times New Roman" w:eastAsia="Times New Roman" w:hAnsi="Times New Roman"/>
          <w:sz w:val="24"/>
          <w:szCs w:val="24"/>
        </w:rPr>
        <w:t xml:space="preserve">New members may be admitted only by written amendment signed by the Member and the incoming member. Per § 605.0106(5) of Chapter 605, this single-member operating agreement is enforceable even though only one person is a party to it. A transferee receiving only a transferable interest does not become a Member and receives no voting or management rights pursuant to § 605.0502.</w:t>
      </w:r>
    </w:p>
    <w:p>
      <w:pPr>
        <w:spacing w:after="40" w:before="0" w:line="276" w:lineRule="auto"/>
        <w:jc w:val="left"/>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 Per § 605.0403, the Member's obligation to make this contribution is enforceable by the Company.</w:t>
      </w:r>
    </w:p>
    <w:p>
      <w:pPr>
        <w:spacing w:after="40" w:before="0" w:line="276" w:lineRule="auto"/>
        <w:jc w:val="left"/>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jc w:val="left"/>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dissolution pursuant to Article X. No withdrawal shall render the Company unable to pay debts as they come due in the ordinary course of business.</w:t>
      </w:r>
    </w:p>
    <w:p>
      <w:pPr>
        <w:spacing w:after="60" w:before="120" w:line="276" w:lineRule="auto"/>
        <w:jc w:val="both"/>
      </w:pPr>
      <w:r>
        <w:rPr>
          <w:rFonts w:ascii="Times New Roman" w:cs="Times New Roman" w:eastAsia="Times New Roman" w:hAnsi="Times New Roman"/>
          <w:b/>
          <w:bCs/>
          <w:sz w:val="24"/>
          <w:szCs w:val="24"/>
        </w:rPr>
        <w:t xml:space="preserve">3.04 Return of Capital</w:t>
      </w:r>
    </w:p>
    <w:p>
      <w:pPr>
        <w:spacing w:after="60" w:before="0" w:line="276" w:lineRule="auto"/>
        <w:jc w:val="both"/>
      </w:pPr>
      <w:r>
        <w:rPr>
          <w:rFonts w:ascii="Times New Roman" w:cs="Times New Roman" w:eastAsia="Times New Roman" w:hAnsi="Times New Roman"/>
          <w:sz w:val="24"/>
          <w:szCs w:val="24"/>
        </w:rPr>
        <w:t xml:space="preserve">Return of capital is limited to Company assets remaining after satisfaction of all Company obligations.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Absent this Agreement, § 605.0404 of Chapter 605 would allocate distributions based on the value of each member's contributions — not on an equal per-capita basis.</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The Member may distribute available funds at any time, provided sufficient funds remain for the Company's debts, liabilities, and working capital. Florida imposes no franchise tax or state income tax on LLC members. The Company must file an annual report by May 1 each year (fee: $138.75) with the Florida Division of Corporations through Sunbiz.org. The distribution schedule shall account for that obligation.</w:t>
      </w:r>
    </w:p>
    <w:p>
      <w:pPr>
        <w:spacing w:after="40" w:before="0" w:line="276" w:lineRule="auto"/>
        <w:jc w:val="left"/>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4.04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4.05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Chapter 605 and the Member's positive capital account balance per Treasury Regulation § 1.704-1(b)(2)(iv).</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 605.04073(1) of Chapter 605, the Company is member-managed, which is the default structure. The Member has full authority over the Company's daily operations. The Member is the sole person authorized to bind the Company, enter into contracts, and sign instruments on its behalf.</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jc w:val="both"/>
      </w:pPr>
      <w:r>
        <w:rPr>
          <w:rFonts w:ascii="Times New Roman" w:cs="Times New Roman" w:eastAsia="Times New Roman" w:hAnsi="Times New Roman"/>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and terminating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mortgages,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Transfer the Company's transferable interest (economic rights to profits and distributions) pursuant to § 605.0502 of Chapter 605.</w:t>
      </w:r>
    </w:p>
    <w:p>
      <w:pPr>
        <w:spacing w:after="60" w:before="0" w:line="276" w:lineRule="auto"/>
        <w:ind w:left="360"/>
        <w:jc w:val="both"/>
      </w:pPr>
      <w:r>
        <w:rPr>
          <w:rFonts w:ascii="Times New Roman" w:cs="Times New Roman" w:eastAsia="Times New Roman" w:hAnsi="Times New Roman"/>
          <w:sz w:val="24"/>
          <w:szCs w:val="24"/>
        </w:rPr>
        <w:t xml:space="preserve">(e)  Take any other action necessary to carry out the business and purposes of the Company.</w:t>
      </w:r>
    </w:p>
    <w:p>
      <w:pPr>
        <w:spacing w:after="60" w:before="120" w:line="276" w:lineRule="auto"/>
        <w:jc w:val="both"/>
      </w:pPr>
      <w:r>
        <w:rPr>
          <w:rFonts w:ascii="Times New Roman" w:cs="Times New Roman" w:eastAsia="Times New Roman" w:hAnsi="Times New Roman"/>
          <w:b/>
          <w:bCs/>
          <w:sz w:val="24"/>
          <w:szCs w:val="24"/>
        </w:rPr>
        <w:t xml:space="preserve">5.03 Authorized Persons</w:t>
      </w:r>
    </w:p>
    <w:p>
      <w:pPr>
        <w:spacing w:after="60" w:before="0" w:line="276" w:lineRule="auto"/>
        <w:jc w:val="both"/>
      </w:pPr>
      <w:r>
        <w:rPr>
          <w:rFonts w:ascii="Times New Roman" w:cs="Times New Roman" w:eastAsia="Times New Roman" w:hAnsi="Times New Roman"/>
          <w:sz w:val="24"/>
          <w:szCs w:val="24"/>
        </w:rPr>
        <w:t xml:space="preserve">The Member may appoint officers or agents for limited operational or banking purposes.</w:t>
      </w:r>
    </w:p>
    <w:p>
      <w:pPr>
        <w:spacing w:after="40" w:before="0" w:line="276" w:lineRule="auto"/>
        <w:jc w:val="left"/>
      </w:pPr>
      <w:r>
        <w:rPr>
          <w:rFonts w:ascii="Times New Roman" w:cs="Times New Roman" w:eastAsia="Times New Roman" w:hAnsi="Times New Roman"/>
          <w:sz w:val="24"/>
          <w:szCs w:val="24"/>
        </w:rPr>
        <w:t xml:space="preserve">Authorized Person(s):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Fiduciary Duties</w:t>
      </w:r>
    </w:p>
    <w:p>
      <w:pPr>
        <w:spacing w:after="60" w:before="0" w:line="276" w:lineRule="auto"/>
        <w:jc w:val="both"/>
      </w:pPr>
      <w:r>
        <w:rPr>
          <w:rFonts w:ascii="Times New Roman" w:cs="Times New Roman" w:eastAsia="Times New Roman" w:hAnsi="Times New Roman"/>
          <w:sz w:val="24"/>
          <w:szCs w:val="24"/>
        </w:rPr>
        <w:t xml:space="preserve">Pursuant to § 605.04091 of Chapter 605, the Member shall act consistently with the duty of loyalty, duty of care, and obligation of good faith and fair dealing. Per § 605.0105(4)(c), this Agreement may alter specific aspects of the duty of loyalty and set standards for measuring good faith, but may not eliminate any of these duties pursuant to § 605.0105(3), nor exonerate anyone from liability for bad faith, willful misconduct, or knowing violation of law.</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pursuant to Chapter 605, Florida Statutes. Maintaining the Company as a separate entity — including separate bank accounts, documented capital contributions, and formal distribution records — is essential to preserving this protection. Note: Per § 605.0503, creditor remedies for single-member LLCs may be broader than for multi-member LLCs under Florida law (Olmstead v. FTC, Fla. 2010).</w:t>
      </w:r>
    </w:p>
    <w:p>
      <w:pPr>
        <w:spacing w:after="60" w:before="120" w:line="276" w:lineRule="auto"/>
        <w:jc w:val="both"/>
      </w:pPr>
      <w:r>
        <w:rPr>
          <w:rFonts w:ascii="Times New Roman" w:cs="Times New Roman" w:eastAsia="Times New Roman" w:hAnsi="Times New Roman"/>
          <w:b/>
          <w:bCs/>
          <w:sz w:val="24"/>
          <w:szCs w:val="24"/>
        </w:rPr>
        <w:t xml:space="preserve">6.02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to promote the Company's interests shall not subject the Member to personal liability, provided the conduct does not constitute fraud, gross negligence, or intentional misconduct.</w:t>
      </w:r>
    </w:p>
    <w:p>
      <w:pPr>
        <w:spacing w:after="60" w:before="120" w:line="276" w:lineRule="auto"/>
        <w:jc w:val="both"/>
      </w:pPr>
      <w:r>
        <w:rPr>
          <w:rFonts w:ascii="Times New Roman" w:cs="Times New Roman" w:eastAsia="Times New Roman" w:hAnsi="Times New Roman"/>
          <w:b/>
          <w:bCs/>
          <w:sz w:val="24"/>
          <w:szCs w:val="24"/>
        </w:rPr>
        <w:t xml:space="preserve">6.03 Indemnification</w:t>
      </w:r>
    </w:p>
    <w:p>
      <w:pPr>
        <w:spacing w:after="60" w:before="0" w:line="276" w:lineRule="auto"/>
        <w:jc w:val="both"/>
      </w:pPr>
      <w:r>
        <w:rPr>
          <w:rFonts w:ascii="Times New Roman" w:cs="Times New Roman" w:eastAsia="Times New Roman" w:hAnsi="Times New Roman"/>
          <w:sz w:val="24"/>
          <w:szCs w:val="24"/>
        </w:rPr>
        <w:t xml:space="preserve">To the fullest extent permitted by Chapter 605, Florida Statutes, the Company may indemnify the Member, employees, officers, and agents for costs incurred in connection with Company business, except where liability arises from fraud, gross negligence, or intentional misconduct.</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jc w:val="left"/>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 upon presentation of appropriate receipts or records.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Accounting</w:t>
      </w:r>
    </w:p>
    <w:p>
      <w:pPr>
        <w:spacing w:after="60" w:before="0" w:line="276" w:lineRule="auto"/>
        <w:jc w:val="both"/>
      </w:pPr>
      <w:r>
        <w:rPr>
          <w:rFonts w:ascii="Times New Roman" w:cs="Times New Roman" w:eastAsia="Times New Roman" w:hAnsi="Times New Roman"/>
          <w:sz w:val="24"/>
          <w:szCs w:val="24"/>
        </w:rPr>
        <w:t xml:space="preserve">The Company shall maintain complete and accurate books and records at its principal office. The accounting period shall be the calendar year.</w:t>
      </w:r>
    </w:p>
    <w:p>
      <w:pPr>
        <w:spacing w:after="40" w:before="0" w:line="276" w:lineRule="auto"/>
        <w:jc w:val="left"/>
      </w:pPr>
      <w:r>
        <w:rPr>
          <w:rFonts w:ascii="Times New Roman" w:cs="Times New Roman" w:eastAsia="Times New Roman" w:hAnsi="Times New Roman"/>
          <w:sz w:val="24"/>
          <w:szCs w:val="24"/>
        </w:rPr>
        <w:t xml:space="preserve">Records Location: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The Company shall maintain: (a) this signed Agreement and all amendments; (b) Articles of Organization and all amendments; (c) federal and state tax returns for the three (3) most recent years; (d) financial statements for the three (3) most recent years; and (e) records of all Member resolutions.</w:t>
      </w:r>
    </w:p>
    <w:p>
      <w:pPr>
        <w:spacing w:after="60" w:before="120" w:line="276" w:lineRule="auto"/>
        <w:jc w:val="both"/>
      </w:pPr>
      <w:r>
        <w:rPr>
          <w:rFonts w:ascii="Times New Roman" w:cs="Times New Roman" w:eastAsia="Times New Roman" w:hAnsi="Times New Roman"/>
          <w:b/>
          <w:bCs/>
          <w:sz w:val="24"/>
          <w:szCs w:val="24"/>
        </w:rPr>
        <w:t xml:space="preserve">8.03 Tax Treatment</w:t>
      </w:r>
    </w:p>
    <w:p>
      <w:pPr>
        <w:spacing w:after="60" w:before="0" w:line="276" w:lineRule="auto"/>
        <w:jc w:val="both"/>
      </w:pPr>
      <w:r>
        <w:rPr>
          <w:rFonts w:ascii="Times New Roman" w:cs="Times New Roman" w:eastAsia="Times New Roman" w:hAnsi="Times New Roman"/>
          <w:sz w:val="24"/>
          <w:szCs w:val="24"/>
        </w:rPr>
        <w:t xml:space="preserve">The Company is a disregarded entity (sole proprietorship) for federal income tax purposes. Florida imposes no individual state income tax. If the LLC elects C-corporation status (IRS Form 8832), it becomes subject to Florida's 5.5% corporate income tax on Florida-source income. The Member may elect an alternative classification:</w:t>
      </w:r>
    </w:p>
    <w:p>
      <w:pPr>
        <w:spacing w:after="40" w:before="0" w:line="276" w:lineRule="auto"/>
        <w:jc w:val="left"/>
      </w:pPr>
      <w:r>
        <w:rPr>
          <w:rFonts w:ascii="Times New Roman" w:cs="Times New Roman" w:eastAsia="Times New Roman" w:hAnsi="Times New Roman"/>
          <w:sz w:val="24"/>
          <w:szCs w:val="24"/>
        </w:rPr>
        <w:t xml:space="preserve">□  S-Corporation (IRS Form 2553)     </w:t>
      </w:r>
      <w:r>
        <w:rPr>
          <w:rFonts w:ascii="Times New Roman" w:cs="Times New Roman" w:eastAsia="Times New Roman" w:hAnsi="Times New Roman"/>
          <w:sz w:val="24"/>
          <w:szCs w:val="24"/>
        </w:rPr>
        <w:t xml:space="preserve">□  C-Corporation (IRS Form 8832)     </w:t>
      </w:r>
      <w:r>
        <w:rPr>
          <w:rFonts w:ascii="Times New Roman" w:cs="Times New Roman" w:eastAsia="Times New Roman" w:hAnsi="Times New Roman"/>
          <w:sz w:val="24"/>
          <w:szCs w:val="24"/>
        </w:rPr>
        <w:t xml:space="preserve">□  Default — Disregarded Entity     </w:t>
      </w:r>
    </w:p>
    <w:p>
      <w:pPr>
        <w:spacing w:after="40" w:before="0" w:line="276" w:lineRule="auto"/>
        <w:jc w:val="left"/>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8.04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 Increased by contributions and income; decreased by distributions and losses.</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Transferable Interest</w:t>
      </w:r>
    </w:p>
    <w:p>
      <w:pPr>
        <w:spacing w:after="60" w:before="0" w:line="276" w:lineRule="auto"/>
        <w:jc w:val="both"/>
      </w:pPr>
      <w:r>
        <w:rPr>
          <w:rFonts w:ascii="Times New Roman" w:cs="Times New Roman" w:eastAsia="Times New Roman" w:hAnsi="Times New Roman"/>
          <w:sz w:val="24"/>
          <w:szCs w:val="24"/>
        </w:rPr>
        <w:t xml:space="preserve">Pursuant to § 605.0502 of Chapter 605, the Member may transfer their transferable interest — the economic right to receive profits and distributions — without restriction. Transfer of the full membership interest, including voting and management rights, requires written admission of the transferee per Section 2.02. Note: Per § 605.0503 and Olmstead v. FTC (Fla. 2010), creditors of a single-member LLC may reach greater rights than a charging order alone.</w:t>
      </w:r>
    </w:p>
    <w:p>
      <w:pPr>
        <w:spacing w:after="60" w:before="120" w:line="276" w:lineRule="auto"/>
        <w:jc w:val="both"/>
      </w:pPr>
      <w:r>
        <w:rPr>
          <w:rFonts w:ascii="Times New Roman" w:cs="Times New Roman" w:eastAsia="Times New Roman" w:hAnsi="Times New Roman"/>
          <w:b/>
          <w:bCs/>
          <w:sz w:val="24"/>
          <w:szCs w:val="24"/>
        </w:rPr>
        <w:t xml:space="preserve">9.02 Admission of Transferee</w:t>
      </w:r>
    </w:p>
    <w:p>
      <w:pPr>
        <w:spacing w:after="60" w:before="0" w:line="276" w:lineRule="auto"/>
        <w:jc w:val="both"/>
      </w:pPr>
      <w:r>
        <w:rPr>
          <w:rFonts w:ascii="Times New Roman" w:cs="Times New Roman" w:eastAsia="Times New Roman" w:hAnsi="Times New Roman"/>
          <w:sz w:val="24"/>
          <w:szCs w:val="24"/>
        </w:rPr>
        <w:t xml:space="preserve">Transfer of a transferable interest alone does not admit the transferee as a Member. Full membership requires written admission per Section 2.02. Until admitted, a transferee has no voting or management rights.</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Events Triggering Dissolution</w:t>
      </w:r>
    </w:p>
    <w:p>
      <w:pPr>
        <w:spacing w:after="60" w:before="0" w:line="276" w:lineRule="auto"/>
        <w:jc w:val="both"/>
      </w:pPr>
      <w:r>
        <w:rPr>
          <w:rFonts w:ascii="Times New Roman" w:cs="Times New Roman" w:eastAsia="Times New Roman" w:hAnsi="Times New Roman"/>
          <w:sz w:val="24"/>
          <w:szCs w:val="24"/>
        </w:rPr>
        <w:t xml:space="preserve">The Company shall be dissolved upon:</w:t>
      </w:r>
    </w:p>
    <w:p>
      <w:pPr>
        <w:spacing w:after="60" w:before="0" w:line="276" w:lineRule="auto"/>
        <w:ind w:left="360"/>
        <w:jc w:val="both"/>
      </w:pPr>
      <w:r>
        <w:rPr>
          <w:rFonts w:ascii="Times New Roman" w:cs="Times New Roman" w:eastAsia="Times New Roman" w:hAnsi="Times New Roman"/>
          <w:sz w:val="24"/>
          <w:szCs w:val="24"/>
        </w:rPr>
        <w:t xml:space="preserve">(a)  The Member elects dissolution in writing;</w:t>
      </w:r>
    </w:p>
    <w:p>
      <w:pPr>
        <w:spacing w:after="60" w:before="0" w:line="276" w:lineRule="auto"/>
        <w:ind w:left="360"/>
        <w:jc w:val="both"/>
      </w:pPr>
      <w:r>
        <w:rPr>
          <w:rFonts w:ascii="Times New Roman" w:cs="Times New Roman" w:eastAsia="Times New Roman" w:hAnsi="Times New Roman"/>
          <w:sz w:val="24"/>
          <w:szCs w:val="24"/>
        </w:rPr>
        <w:t xml:space="preserve">(b)  No remaining member exists for ninety (90) consecutive days, unless transferable interest holders consent in writing to continue and admit a new member per § 605.0702;</w:t>
      </w:r>
    </w:p>
    <w:p>
      <w:pPr>
        <w:spacing w:after="60" w:before="0" w:line="276" w:lineRule="auto"/>
        <w:ind w:left="360"/>
        <w:jc w:val="both"/>
      </w:pPr>
      <w:r>
        <w:rPr>
          <w:rFonts w:ascii="Times New Roman" w:cs="Times New Roman" w:eastAsia="Times New Roman" w:hAnsi="Times New Roman"/>
          <w:sz w:val="24"/>
          <w:szCs w:val="24"/>
        </w:rPr>
        <w:t xml:space="preserve">(c)  Judicial dissolution ordered by a court pursuant to § 605.0702 of Chapter 605; or</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the Articles of Organization or this Agreement.</w:t>
      </w:r>
    </w:p>
    <w:p>
      <w:pPr>
        <w:spacing w:after="60" w:before="120" w:line="276" w:lineRule="auto"/>
        <w:jc w:val="both"/>
      </w:pPr>
      <w:r>
        <w:rPr>
          <w:rFonts w:ascii="Times New Roman" w:cs="Times New Roman" w:eastAsia="Times New Roman" w:hAnsi="Times New Roman"/>
          <w:b/>
          <w:bCs/>
          <w:sz w:val="24"/>
          <w:szCs w:val="24"/>
        </w:rPr>
        <w:t xml:space="preserve">10.02 Distributions After Dissolution</w:t>
      </w:r>
    </w:p>
    <w:p>
      <w:pPr>
        <w:spacing w:after="60" w:before="0" w:line="276" w:lineRule="auto"/>
        <w:jc w:val="both"/>
      </w:pPr>
      <w:r>
        <w:rPr>
          <w:rFonts w:ascii="Times New Roman" w:cs="Times New Roman" w:eastAsia="Times New Roman" w:hAnsi="Times New Roman"/>
          <w:sz w:val="24"/>
          <w:szCs w:val="24"/>
        </w:rPr>
        <w:t xml:space="preserve">Upon dissolution, creditors shall be paid first (including the Member as a creditor), then remaining assets distributed to the Member pursuant to Chapter 605, Florida Statutes.</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jc w:val="left"/>
      </w:pPr>
      <w:r>
        <w:rPr>
          <w:rFonts w:ascii="Times New Roman" w:cs="Times New Roman" w:eastAsia="Times New Roman" w:hAnsi="Times New Roman"/>
          <w:sz w:val="24"/>
          <w:szCs w:val="24"/>
        </w:rPr>
        <w:t xml:space="preserve">Liquidator Name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liquidator's authority shall be documented in Company records and be consistent with Chapter 605, Florida Statutes.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Florida, including the Florida Revised Limited Liability Company Act, Chapter 605, Florida Statutes.</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This Agreement may be amended only by a written amendment signed by the Member, dated and maintained with Company records. Under § 605.04073, amending the operating agreement requires unanimous written consent of all members.</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Florida.</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or unenforceable,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and all exhibits hereto constitute the complete agreement of the Member.</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Florida Division of Corporations. The Member shall retain the signed original with Company records. Pursuant to § 605.0106(6), this Agreement is not subject to a statute of frauds and does not require notarization under Florida law.</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Operating Agreement as of the date first written above. No notarization is required under Florida law (§ 605.0106(6)).</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jc w:val="left"/>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jc w:val="left"/>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Florida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jc w:val="left"/>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jc w:val="left"/>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jc w:val="left"/>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Florida-specific statute references under the Florida Revised Limited Liability Company Act, Chapter 605, Florida Statutes.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Florida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Florida LLC Resources:</w:t>
      </w:r>
    </w:p>
    <w:p>
      <w:pPr>
        <w:spacing w:after="40" w:before="0" w:line="276" w:lineRule="auto"/>
      </w:pPr>
      <w:hyperlink w:history="1" r:id="rIddlyx8nq6kuc8zipspmbnm">
        <w:r>
          <w:rPr>
            <w:rFonts w:ascii="Times New Roman" w:cs="Times New Roman" w:eastAsia="Times New Roman" w:hAnsi="Times New Roman"/>
            <w:color w:val="0000FF"/>
            <w:sz w:val="24"/>
            <w:szCs w:val="24"/>
            <w:u w:val="single"/>
          </w:rPr>
          <w:t xml:space="preserve">→  https://boostsuite.com/operating-agreement/florida/</w:t>
        </w:r>
      </w:hyperlink>
    </w:p>
    <w:p>
      <w:pPr>
        <w:spacing w:after="40" w:before="0" w:line="276" w:lineRule="auto"/>
      </w:pPr>
      <w:hyperlink w:history="1" r:id="rIdgniozjlvlcmxs0nbxqber">
        <w:r>
          <w:rPr>
            <w:rFonts w:ascii="Times New Roman" w:cs="Times New Roman" w:eastAsia="Times New Roman" w:hAnsi="Times New Roman"/>
            <w:color w:val="0000FF"/>
            <w:sz w:val="24"/>
            <w:szCs w:val="24"/>
            <w:u w:val="single"/>
          </w:rPr>
          <w:t xml:space="preserve">→  https://boostsuite.com/how-to-start-an-llc/florida/</w:t>
        </w:r>
      </w:hyperlink>
    </w:p>
    <w:p>
      <w:pPr>
        <w:spacing w:after="40" w:before="0" w:line="276" w:lineRule="auto"/>
      </w:pPr>
      <w:hyperlink w:history="1" r:id="rIdgmiuhy_dt-_hmw2sfmnai">
        <w:r>
          <w:rPr>
            <w:rFonts w:ascii="Times New Roman" w:cs="Times New Roman" w:eastAsia="Times New Roman" w:hAnsi="Times New Roman"/>
            <w:color w:val="0000FF"/>
            <w:sz w:val="24"/>
            <w:szCs w:val="24"/>
            <w:u w:val="single"/>
          </w:rPr>
          <w:t xml:space="preserve">→  https://boostsuite.com/how-to-start-an-llc/cost/florida/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dlyx8nq6kuc8zipspmbnm" Type="http://schemas.openxmlformats.org/officeDocument/2006/relationships/hyperlink" Target="https://boostsuite.com/operating-agreement/florida/" TargetMode="External"/><Relationship Id="rIdgniozjlvlcmxs0nbxqber" Type="http://schemas.openxmlformats.org/officeDocument/2006/relationships/hyperlink" Target="https://boostsuite.com/how-to-start-an-llc/florida/" TargetMode="External"/><Relationship Id="rIdgmiuhy_dt-_hmw2sfmnai" Type="http://schemas.openxmlformats.org/officeDocument/2006/relationships/hyperlink" Target="https://boostsuite.com/how-to-start-an-llc/cost/florid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2026-04-14T07:37:46.286Z</dcterms:created>
  <dcterms:modified xsi:type="dcterms:W3CDTF">2026-04-14T07:37:46.287Z</dcterms:modified>
</cp:coreProperties>
</file>

<file path=docProps/custom.xml><?xml version="1.0" encoding="utf-8"?>
<Properties xmlns="http://schemas.openxmlformats.org/officeDocument/2006/custom-properties" xmlns:vt="http://schemas.openxmlformats.org/officeDocument/2006/docPropsVTypes"/>
</file>